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E2" w:rsidRDefault="003148EC">
      <w:pPr>
        <w:spacing w:after="237"/>
        <w:ind w:left="17"/>
        <w:jc w:val="center"/>
      </w:pPr>
      <w:r w:rsidRPr="003148EC">
        <w:rPr>
          <w:rFonts w:ascii="Arial" w:eastAsiaTheme="minorHAnsi" w:hAnsi="Arial" w:cs="Arial"/>
          <w:noProof/>
          <w:color w:val="0070C0"/>
          <w:sz w:val="36"/>
          <w:szCs w:val="36"/>
        </w:rPr>
        <mc:AlternateContent>
          <mc:Choice Requires="wps">
            <w:drawing>
              <wp:anchor distT="0" distB="0" distL="114300" distR="114300" simplePos="0" relativeHeight="251659264" behindDoc="0" locked="0" layoutInCell="1" allowOverlap="1" wp14:anchorId="6754646E" wp14:editId="2B9DAD06">
                <wp:simplePos x="0" y="0"/>
                <wp:positionH relativeFrom="column">
                  <wp:posOffset>0</wp:posOffset>
                </wp:positionH>
                <wp:positionV relativeFrom="paragraph">
                  <wp:posOffset>19050</wp:posOffset>
                </wp:positionV>
                <wp:extent cx="6478438" cy="957532"/>
                <wp:effectExtent l="19050" t="19050" r="17780" b="14605"/>
                <wp:wrapNone/>
                <wp:docPr id="1" name="Cuadro de texto 1"/>
                <wp:cNvGraphicFramePr/>
                <a:graphic xmlns:a="http://schemas.openxmlformats.org/drawingml/2006/main">
                  <a:graphicData uri="http://schemas.microsoft.com/office/word/2010/wordprocessingShape">
                    <wps:wsp>
                      <wps:cNvSpPr txBox="1"/>
                      <wps:spPr>
                        <a:xfrm>
                          <a:off x="0" y="0"/>
                          <a:ext cx="6478438" cy="957532"/>
                        </a:xfrm>
                        <a:prstGeom prst="rect">
                          <a:avLst/>
                        </a:prstGeom>
                        <a:solidFill>
                          <a:srgbClr val="FFFF00"/>
                        </a:solidFill>
                        <a:ln w="38100">
                          <a:solidFill>
                            <a:srgbClr val="FF0000"/>
                          </a:solidFill>
                        </a:ln>
                      </wps:spPr>
                      <wps:txbx>
                        <w:txbxContent>
                          <w:p w:rsidR="003148EC" w:rsidRDefault="003148EC" w:rsidP="003148EC">
                            <w:r>
                              <w:t>Estas actividades y las actividades</w:t>
                            </w:r>
                            <w:r>
                              <w:t xml:space="preserve"> del trabajo anterior</w:t>
                            </w:r>
                            <w:r>
                              <w:t xml:space="preserve"> lo entregarán por medio de la plataforma ELE. Desde ahora ese será el medio por el cual enviaremos las actividades. Desde dirección les mostrarán mediante tutoriales cómo hacer para subir los trabajos a la plataforma. // hagamos </w:t>
                            </w:r>
                            <w:proofErr w:type="gramStart"/>
                            <w:r>
                              <w:t>todos el esfuerzo</w:t>
                            </w:r>
                            <w:proofErr w:type="gramEnd"/>
                            <w:r>
                              <w:t xml:space="preserve"> y prestemos mucha atención a las </w:t>
                            </w:r>
                            <w:proofErr w:type="spellStart"/>
                            <w:r>
                              <w:t>intrucciones</w:t>
                            </w:r>
                            <w:proofErr w:type="spellEnd"/>
                            <w:r>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54646E" id="_x0000_t202" coordsize="21600,21600" o:spt="202" path="m,l,21600r21600,l21600,xe">
                <v:stroke joinstyle="miter"/>
                <v:path gradientshapeok="t" o:connecttype="rect"/>
              </v:shapetype>
              <v:shape id="Cuadro de texto 1" o:spid="_x0000_s1026" type="#_x0000_t202" style="position:absolute;left:0;text-align:left;margin-left:0;margin-top:1.5pt;width:510.1pt;height:7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" fillcolor="yellow" strokecolor="red" strokeweight="3pt">
                <v:textbox>
                  <w:txbxContent>
                    <w:p w:rsidR="003148EC" w:rsidRDefault="003148EC" w:rsidP="003148EC">
                      <w:r>
                        <w:t>Estas actividades y las actividades</w:t>
                      </w:r>
                      <w:r>
                        <w:t xml:space="preserve"> del trabajo anterior</w:t>
                      </w:r>
                      <w:r>
                        <w:t xml:space="preserve"> lo entregarán por medio de la plataforma ELE. Desde ahora ese será el medio por el cual enviaremos las actividades. Desde dirección les mostrarán mediante tutoriales cómo hacer para subir los trabajos a la plataforma. // hagamos </w:t>
                      </w:r>
                      <w:proofErr w:type="gramStart"/>
                      <w:r>
                        <w:t>todos el esfuerzo</w:t>
                      </w:r>
                      <w:proofErr w:type="gramEnd"/>
                      <w:r>
                        <w:t xml:space="preserve"> y prestemos mucha atención a las </w:t>
                      </w:r>
                      <w:proofErr w:type="spellStart"/>
                      <w:r>
                        <w:t>intrucciones</w:t>
                      </w:r>
                      <w:proofErr w:type="spellEnd"/>
                      <w:r>
                        <w:t>//</w:t>
                      </w:r>
                      <w:r>
                        <w:t xml:space="preserve"> </w:t>
                      </w:r>
                    </w:p>
                  </w:txbxContent>
                </v:textbox>
              </v:shape>
            </w:pict>
          </mc:Fallback>
        </mc:AlternateContent>
      </w:r>
    </w:p>
    <w:p w:rsidR="003A1BE2" w:rsidRDefault="003A1BE2">
      <w:pPr>
        <w:spacing w:after="202"/>
      </w:pPr>
    </w:p>
    <w:p w:rsidR="003A1BE2" w:rsidRDefault="00735322">
      <w:pPr>
        <w:spacing w:after="275"/>
        <w:ind w:left="-5" w:hanging="10"/>
      </w:pPr>
      <w:r>
        <w:rPr>
          <w:b/>
        </w:rPr>
        <w:t xml:space="preserve">                                                                                                       </w:t>
      </w:r>
      <w:r w:rsidR="003148EC">
        <w:rPr>
          <w:b/>
        </w:rPr>
        <w:t xml:space="preserve">                </w:t>
      </w:r>
    </w:p>
    <w:p w:rsidR="003148EC" w:rsidRDefault="003148EC">
      <w:pPr>
        <w:pStyle w:val="Ttulo1"/>
      </w:pPr>
    </w:p>
    <w:p w:rsidR="003148EC" w:rsidRDefault="003148EC" w:rsidP="003148EC">
      <w:pPr>
        <w:pStyle w:val="Ttulo1"/>
        <w:jc w:val="left"/>
      </w:pPr>
      <w:r w:rsidRPr="003148EC">
        <w:rPr>
          <w:highlight w:val="green"/>
        </w:rPr>
        <w:t>COPIAR EN SUS CARPETAS Y COLOCAR FECHA</w:t>
      </w:r>
    </w:p>
    <w:p w:rsidR="003A1BE2" w:rsidRDefault="00735322">
      <w:pPr>
        <w:pStyle w:val="Ttulo1"/>
      </w:pPr>
      <w:r>
        <w:t>LENGUA</w:t>
      </w:r>
      <w:r>
        <w:rPr>
          <w:u w:val="none"/>
        </w:rPr>
        <w:t xml:space="preserve"> </w:t>
      </w:r>
    </w:p>
    <w:p w:rsidR="003A1BE2" w:rsidRDefault="003148EC" w:rsidP="003148EC">
      <w:pPr>
        <w:spacing w:after="221"/>
        <w:jc w:val="center"/>
      </w:pPr>
      <w:r>
        <w:rPr>
          <w:b/>
          <w:sz w:val="24"/>
          <w:u w:val="single" w:color="000000"/>
        </w:rPr>
        <w:t xml:space="preserve">LOS </w:t>
      </w:r>
      <w:proofErr w:type="gramStart"/>
      <w:r>
        <w:rPr>
          <w:b/>
          <w:sz w:val="24"/>
          <w:u w:val="single" w:color="000000"/>
        </w:rPr>
        <w:t>LECTOS  O</w:t>
      </w:r>
      <w:proofErr w:type="gramEnd"/>
      <w:r>
        <w:rPr>
          <w:b/>
          <w:sz w:val="24"/>
          <w:u w:val="single" w:color="000000"/>
        </w:rPr>
        <w:t xml:space="preserve">  </w:t>
      </w:r>
      <w:r w:rsidR="00735322">
        <w:rPr>
          <w:b/>
          <w:sz w:val="24"/>
          <w:u w:val="single" w:color="000000"/>
        </w:rPr>
        <w:t>VARIEDADES DE LA LENGUA</w:t>
      </w:r>
    </w:p>
    <w:p w:rsidR="003A1BE2" w:rsidRDefault="00735322">
      <w:pPr>
        <w:spacing w:after="211" w:line="268" w:lineRule="auto"/>
        <w:ind w:left="-5" w:hanging="10"/>
      </w:pPr>
      <w:r>
        <w:rPr>
          <w:sz w:val="24"/>
        </w:rPr>
        <w:t>*</w:t>
      </w:r>
      <w:r w:rsidRPr="003148EC">
        <w:rPr>
          <w:sz w:val="24"/>
          <w:highlight w:val="green"/>
        </w:rPr>
        <w:t>Copiar la siguiente conceptualización:</w:t>
      </w:r>
      <w:r>
        <w:rPr>
          <w:sz w:val="24"/>
        </w:rPr>
        <w:t xml:space="preserve"> </w:t>
      </w:r>
    </w:p>
    <w:p w:rsidR="003A1BE2" w:rsidRDefault="00735322">
      <w:pPr>
        <w:spacing w:after="211" w:line="268" w:lineRule="auto"/>
        <w:ind w:left="-5" w:hanging="10"/>
      </w:pPr>
      <w:r>
        <w:rPr>
          <w:sz w:val="24"/>
        </w:rPr>
        <w:t>El español</w:t>
      </w:r>
      <w:r w:rsidR="003148EC">
        <w:rPr>
          <w:sz w:val="24"/>
        </w:rPr>
        <w:t>- castellano</w:t>
      </w:r>
      <w:r>
        <w:rPr>
          <w:sz w:val="24"/>
        </w:rPr>
        <w:t xml:space="preserve"> como cualquier otra lengua, cambia de acuerdo con el lugar donde se habla. También presenta diferencias a lo largo del tiempo. Por ejemplo, en un mismo lugar, los abuelos hablan diferente que sus nietos. </w:t>
      </w:r>
    </w:p>
    <w:p w:rsidR="003A1BE2" w:rsidRDefault="00735322">
      <w:pPr>
        <w:spacing w:after="211" w:line="268" w:lineRule="auto"/>
        <w:ind w:left="-5" w:hanging="10"/>
      </w:pPr>
      <w:r>
        <w:rPr>
          <w:sz w:val="24"/>
        </w:rPr>
        <w:t xml:space="preserve">Hasta un mismo hablante se expresa de diversas maneras según la situación en que se encuentre: un chico no se dirige de la misma forma a un docente que a un amigo. Las </w:t>
      </w:r>
      <w:r>
        <w:rPr>
          <w:b/>
          <w:sz w:val="24"/>
        </w:rPr>
        <w:t xml:space="preserve">variedades de lengua </w:t>
      </w:r>
      <w:r>
        <w:rPr>
          <w:sz w:val="24"/>
        </w:rPr>
        <w:t xml:space="preserve">o </w:t>
      </w:r>
      <w:r>
        <w:rPr>
          <w:b/>
          <w:sz w:val="24"/>
        </w:rPr>
        <w:t>variedades lingüísticas</w:t>
      </w:r>
      <w:r>
        <w:rPr>
          <w:sz w:val="24"/>
        </w:rPr>
        <w:t xml:space="preserve"> son esas formas particulares que tiene una misma lengua y que son compartidas por los hablantes de una misma comunidad. </w:t>
      </w:r>
    </w:p>
    <w:p w:rsidR="003148EC" w:rsidRDefault="00735322">
      <w:pPr>
        <w:spacing w:after="0" w:line="268" w:lineRule="auto"/>
        <w:ind w:left="-5" w:hanging="10"/>
        <w:rPr>
          <w:sz w:val="24"/>
        </w:rPr>
      </w:pPr>
      <w:r>
        <w:rPr>
          <w:sz w:val="24"/>
        </w:rPr>
        <w:t>*</w:t>
      </w:r>
      <w:r w:rsidRPr="003148EC">
        <w:rPr>
          <w:sz w:val="24"/>
          <w:highlight w:val="green"/>
        </w:rPr>
        <w:t>Leer y copiar el siguiente cuadro de variedades de la lengua.</w:t>
      </w:r>
    </w:p>
    <w:p w:rsidR="003A1BE2" w:rsidRDefault="00735322">
      <w:pPr>
        <w:spacing w:after="0" w:line="268" w:lineRule="auto"/>
        <w:ind w:left="-5" w:hanging="10"/>
      </w:pPr>
      <w:r>
        <w:rPr>
          <w:sz w:val="24"/>
        </w:rPr>
        <w:t xml:space="preserve"> </w:t>
      </w:r>
    </w:p>
    <w:tbl>
      <w:tblPr>
        <w:tblStyle w:val="TableGrid"/>
        <w:tblW w:w="8829" w:type="dxa"/>
        <w:tblInd w:w="5" w:type="dxa"/>
        <w:tblCellMar>
          <w:top w:w="48" w:type="dxa"/>
          <w:left w:w="106" w:type="dxa"/>
          <w:right w:w="115" w:type="dxa"/>
        </w:tblCellMar>
        <w:tblLook w:val="04A0" w:firstRow="1" w:lastRow="0" w:firstColumn="1" w:lastColumn="0" w:noHBand="0" w:noVBand="1"/>
      </w:tblPr>
      <w:tblGrid>
        <w:gridCol w:w="4417"/>
        <w:gridCol w:w="4412"/>
      </w:tblGrid>
      <w:tr w:rsidR="003A1BE2">
        <w:trPr>
          <w:trHeight w:val="548"/>
        </w:trPr>
        <w:tc>
          <w:tcPr>
            <w:tcW w:w="4417" w:type="dxa"/>
            <w:tcBorders>
              <w:top w:val="single" w:sz="4" w:space="0" w:color="000000"/>
              <w:left w:val="single" w:sz="4" w:space="0" w:color="000000"/>
              <w:bottom w:val="single" w:sz="4" w:space="0" w:color="000000"/>
              <w:right w:val="single" w:sz="4" w:space="0" w:color="000000"/>
            </w:tcBorders>
          </w:tcPr>
          <w:p w:rsidR="003A1BE2" w:rsidRDefault="00735322">
            <w:pPr>
              <w:ind w:left="2"/>
            </w:pPr>
            <w:r w:rsidRPr="003148EC">
              <w:rPr>
                <w:b/>
                <w:highlight w:val="yellow"/>
              </w:rPr>
              <w:t>CRONOLECTO</w:t>
            </w:r>
            <w:r>
              <w:rPr>
                <w:b/>
              </w:rPr>
              <w:t xml:space="preserve"> </w:t>
            </w:r>
          </w:p>
        </w:tc>
        <w:tc>
          <w:tcPr>
            <w:tcW w:w="4412" w:type="dxa"/>
            <w:tcBorders>
              <w:top w:val="single" w:sz="4" w:space="0" w:color="000000"/>
              <w:left w:val="single" w:sz="4" w:space="0" w:color="000000"/>
              <w:bottom w:val="single" w:sz="4" w:space="0" w:color="000000"/>
              <w:right w:val="single" w:sz="4" w:space="0" w:color="000000"/>
            </w:tcBorders>
          </w:tcPr>
          <w:p w:rsidR="003148EC" w:rsidRDefault="00735322">
            <w:pPr>
              <w:rPr>
                <w:b/>
                <w:highlight w:val="yellow"/>
              </w:rPr>
            </w:pPr>
            <w:r>
              <w:t xml:space="preserve">Depende de la edad del hablante. Puede ser </w:t>
            </w:r>
            <w:r w:rsidR="003148EC">
              <w:rPr>
                <w:b/>
                <w:highlight w:val="yellow"/>
              </w:rPr>
              <w:t>infantil</w:t>
            </w:r>
          </w:p>
          <w:p w:rsidR="003148EC" w:rsidRDefault="003148EC">
            <w:pPr>
              <w:rPr>
                <w:b/>
                <w:highlight w:val="yellow"/>
              </w:rPr>
            </w:pPr>
            <w:r w:rsidRPr="003148EC">
              <w:rPr>
                <w:b/>
                <w:highlight w:val="yellow"/>
              </w:rPr>
              <w:t>A</w:t>
            </w:r>
            <w:r w:rsidR="00735322" w:rsidRPr="003148EC">
              <w:rPr>
                <w:b/>
                <w:highlight w:val="yellow"/>
              </w:rPr>
              <w:t>dolescente</w:t>
            </w:r>
          </w:p>
          <w:p w:rsidR="003A1BE2" w:rsidRDefault="00735322">
            <w:r w:rsidRPr="003148EC">
              <w:rPr>
                <w:b/>
                <w:highlight w:val="yellow"/>
              </w:rPr>
              <w:t xml:space="preserve"> </w:t>
            </w:r>
            <w:r w:rsidRPr="003148EC">
              <w:rPr>
                <w:highlight w:val="yellow"/>
              </w:rPr>
              <w:t>o</w:t>
            </w:r>
            <w:r w:rsidRPr="003148EC">
              <w:rPr>
                <w:b/>
                <w:highlight w:val="yellow"/>
              </w:rPr>
              <w:t xml:space="preserve"> adulto</w:t>
            </w:r>
            <w:r w:rsidRPr="003148EC">
              <w:rPr>
                <w:highlight w:val="yellow"/>
              </w:rPr>
              <w:t>.</w:t>
            </w:r>
            <w:r>
              <w:t xml:space="preserve"> </w:t>
            </w:r>
          </w:p>
          <w:p w:rsidR="003148EC" w:rsidRDefault="003148EC"/>
        </w:tc>
      </w:tr>
      <w:tr w:rsidR="003A1BE2">
        <w:trPr>
          <w:trHeight w:val="1889"/>
        </w:trPr>
        <w:tc>
          <w:tcPr>
            <w:tcW w:w="4417" w:type="dxa"/>
            <w:tcBorders>
              <w:top w:val="single" w:sz="4" w:space="0" w:color="000000"/>
              <w:left w:val="single" w:sz="4" w:space="0" w:color="000000"/>
              <w:bottom w:val="single" w:sz="4" w:space="0" w:color="000000"/>
              <w:right w:val="single" w:sz="4" w:space="0" w:color="000000"/>
            </w:tcBorders>
          </w:tcPr>
          <w:p w:rsidR="003A1BE2" w:rsidRDefault="00735322">
            <w:pPr>
              <w:ind w:left="2"/>
            </w:pPr>
            <w:r w:rsidRPr="003148EC">
              <w:rPr>
                <w:b/>
                <w:highlight w:val="cyan"/>
              </w:rPr>
              <w:t>DIALECTO</w:t>
            </w:r>
            <w:r>
              <w:rPr>
                <w:b/>
              </w:rPr>
              <w:t xml:space="preserve"> </w:t>
            </w:r>
          </w:p>
        </w:tc>
        <w:tc>
          <w:tcPr>
            <w:tcW w:w="4412" w:type="dxa"/>
            <w:tcBorders>
              <w:top w:val="single" w:sz="4" w:space="0" w:color="000000"/>
              <w:left w:val="single" w:sz="4" w:space="0" w:color="000000"/>
              <w:bottom w:val="single" w:sz="4" w:space="0" w:color="000000"/>
              <w:right w:val="single" w:sz="4" w:space="0" w:color="000000"/>
            </w:tcBorders>
          </w:tcPr>
          <w:p w:rsidR="003A1BE2" w:rsidRDefault="00735322">
            <w:r>
              <w:t xml:space="preserve">Depende de la procedencia geográfica, es decir el lugar de </w:t>
            </w:r>
            <w:proofErr w:type="spellStart"/>
            <w:r>
              <w:t>orígen</w:t>
            </w:r>
            <w:proofErr w:type="spellEnd"/>
            <w:r>
              <w:t xml:space="preserve"> o de residencia del hablante. Dentro del dialecto puede identificarse el </w:t>
            </w:r>
            <w:r w:rsidRPr="003148EC">
              <w:rPr>
                <w:b/>
                <w:highlight w:val="cyan"/>
              </w:rPr>
              <w:t>dialecto regional rural</w:t>
            </w:r>
            <w:r>
              <w:rPr>
                <w:b/>
              </w:rPr>
              <w:t xml:space="preserve"> </w:t>
            </w:r>
            <w:r>
              <w:t xml:space="preserve">(el hablante emplea expresiones típicas del campo) o el </w:t>
            </w:r>
            <w:r w:rsidRPr="003148EC">
              <w:rPr>
                <w:b/>
                <w:highlight w:val="cyan"/>
              </w:rPr>
              <w:t>dialecto regional urbano</w:t>
            </w:r>
            <w:r>
              <w:rPr>
                <w:b/>
              </w:rPr>
              <w:t xml:space="preserve"> </w:t>
            </w:r>
            <w:r>
              <w:t xml:space="preserve">(el hablante usa expresiones de la ciudad) </w:t>
            </w:r>
          </w:p>
          <w:p w:rsidR="003148EC" w:rsidRDefault="003148EC"/>
        </w:tc>
      </w:tr>
      <w:tr w:rsidR="003A1BE2">
        <w:trPr>
          <w:trHeight w:val="1892"/>
        </w:trPr>
        <w:tc>
          <w:tcPr>
            <w:tcW w:w="4417" w:type="dxa"/>
            <w:tcBorders>
              <w:top w:val="single" w:sz="4" w:space="0" w:color="000000"/>
              <w:left w:val="single" w:sz="4" w:space="0" w:color="000000"/>
              <w:bottom w:val="single" w:sz="4" w:space="0" w:color="000000"/>
              <w:right w:val="single" w:sz="4" w:space="0" w:color="000000"/>
            </w:tcBorders>
          </w:tcPr>
          <w:p w:rsidR="003A1BE2" w:rsidRDefault="00735322">
            <w:pPr>
              <w:ind w:left="2"/>
            </w:pPr>
            <w:r w:rsidRPr="003148EC">
              <w:rPr>
                <w:b/>
                <w:highlight w:val="magenta"/>
              </w:rPr>
              <w:t>SOCIOLECTO</w:t>
            </w:r>
            <w:r>
              <w:rPr>
                <w:b/>
              </w:rPr>
              <w:t xml:space="preserve"> </w:t>
            </w:r>
          </w:p>
        </w:tc>
        <w:tc>
          <w:tcPr>
            <w:tcW w:w="4412" w:type="dxa"/>
            <w:tcBorders>
              <w:top w:val="single" w:sz="4" w:space="0" w:color="000000"/>
              <w:left w:val="single" w:sz="4" w:space="0" w:color="000000"/>
              <w:bottom w:val="single" w:sz="4" w:space="0" w:color="000000"/>
              <w:right w:val="single" w:sz="4" w:space="0" w:color="000000"/>
            </w:tcBorders>
          </w:tcPr>
          <w:p w:rsidR="003A1BE2" w:rsidRDefault="00735322">
            <w:r>
              <w:t xml:space="preserve">Está relacionado con el nivel de educación. El sociolecto puede ser </w:t>
            </w:r>
            <w:r>
              <w:rPr>
                <w:b/>
              </w:rPr>
              <w:t xml:space="preserve">no escolarizado </w:t>
            </w:r>
            <w:r>
              <w:t xml:space="preserve">(el hablante no tiene un manejo cuidado de la lengua, </w:t>
            </w:r>
            <w:r w:rsidRPr="003148EC">
              <w:rPr>
                <w:b/>
                <w:highlight w:val="magenta"/>
              </w:rPr>
              <w:t>escolarizado</w:t>
            </w:r>
            <w:r>
              <w:t xml:space="preserve"> (el hablante tiene un adecuado manejo del lenguaje) y </w:t>
            </w:r>
            <w:r w:rsidRPr="003148EC">
              <w:rPr>
                <w:b/>
                <w:highlight w:val="magenta"/>
              </w:rPr>
              <w:t>profesional</w:t>
            </w:r>
            <w:r>
              <w:t xml:space="preserve"> (el hablante maneja términos relativos a una profesión, por ejemplo, a medicina) </w:t>
            </w:r>
          </w:p>
          <w:p w:rsidR="003148EC" w:rsidRDefault="003148EC"/>
        </w:tc>
      </w:tr>
    </w:tbl>
    <w:p w:rsidR="003A1BE2" w:rsidRDefault="00735322">
      <w:pPr>
        <w:spacing w:after="218"/>
      </w:pPr>
      <w:r>
        <w:t xml:space="preserve"> </w:t>
      </w:r>
    </w:p>
    <w:p w:rsidR="003A1BE2" w:rsidRDefault="00735322">
      <w:pPr>
        <w:spacing w:after="208" w:line="267" w:lineRule="auto"/>
        <w:ind w:left="-5" w:hanging="10"/>
      </w:pPr>
      <w:r>
        <w:t xml:space="preserve">La combinación del dialecto, el sociolecto y el </w:t>
      </w:r>
      <w:proofErr w:type="spellStart"/>
      <w:r>
        <w:t>cronolecto</w:t>
      </w:r>
      <w:proofErr w:type="spellEnd"/>
      <w:r>
        <w:t xml:space="preserve"> da como resultado el </w:t>
      </w:r>
      <w:r>
        <w:rPr>
          <w:b/>
        </w:rPr>
        <w:t>idiolecto</w:t>
      </w:r>
      <w:r w:rsidR="003607C0">
        <w:t xml:space="preserve"> de cada hablante; p</w:t>
      </w:r>
      <w:r>
        <w:t>odemos afirmar que la forma de expresarse de cada in</w:t>
      </w:r>
      <w:r w:rsidR="003607C0">
        <w:t>dividuo posee rasgos personales, propios del hablante y de la cultura.</w:t>
      </w:r>
      <w:r>
        <w:t xml:space="preserve"> </w:t>
      </w:r>
    </w:p>
    <w:p w:rsidR="003A1BE2" w:rsidRDefault="00735322">
      <w:pPr>
        <w:spacing w:after="0"/>
      </w:pPr>
      <w:r>
        <w:t xml:space="preserve"> </w:t>
      </w:r>
    </w:p>
    <w:p w:rsidR="003A1BE2" w:rsidRDefault="00735322">
      <w:pPr>
        <w:spacing w:after="218"/>
      </w:pPr>
      <w:r>
        <w:t xml:space="preserve"> </w:t>
      </w:r>
    </w:p>
    <w:p w:rsidR="003A1BE2" w:rsidRDefault="00735322">
      <w:pPr>
        <w:spacing w:after="208" w:line="267" w:lineRule="auto"/>
        <w:ind w:left="-5" w:hanging="10"/>
      </w:pPr>
      <w:r w:rsidRPr="003607C0">
        <w:rPr>
          <w:highlight w:val="green"/>
        </w:rPr>
        <w:lastRenderedPageBreak/>
        <w:t>*Leer el siguiente ejemplo</w:t>
      </w:r>
      <w:r w:rsidR="003607C0">
        <w:rPr>
          <w:highlight w:val="green"/>
        </w:rPr>
        <w:t xml:space="preserve"> y vea </w:t>
      </w:r>
      <w:proofErr w:type="spellStart"/>
      <w:r w:rsidR="003607C0">
        <w:rPr>
          <w:highlight w:val="green"/>
        </w:rPr>
        <w:t>como</w:t>
      </w:r>
      <w:proofErr w:type="spellEnd"/>
      <w:r w:rsidR="003607C0">
        <w:rPr>
          <w:highlight w:val="green"/>
        </w:rPr>
        <w:t xml:space="preserve"> se resuelve</w:t>
      </w:r>
      <w:r w:rsidRPr="003607C0">
        <w:rPr>
          <w:highlight w:val="green"/>
        </w:rPr>
        <w:t>:</w:t>
      </w:r>
      <w:r>
        <w:t xml:space="preserve"> </w:t>
      </w:r>
    </w:p>
    <w:p w:rsidR="003607C0" w:rsidRDefault="00735322">
      <w:pPr>
        <w:spacing w:after="208" w:line="267" w:lineRule="auto"/>
        <w:ind w:left="-5" w:hanging="10"/>
      </w:pPr>
      <w:proofErr w:type="gramStart"/>
      <w:r>
        <w:t>-¡</w:t>
      </w:r>
      <w:proofErr w:type="gramEnd"/>
      <w:r>
        <w:t>Hola!</w:t>
      </w:r>
    </w:p>
    <w:p w:rsidR="003A1BE2" w:rsidRDefault="003607C0">
      <w:pPr>
        <w:spacing w:after="208" w:line="267" w:lineRule="auto"/>
        <w:ind w:left="-5" w:hanging="10"/>
      </w:pPr>
      <w:r>
        <w:t xml:space="preserve">- ¡Qué </w:t>
      </w:r>
      <w:proofErr w:type="spellStart"/>
      <w:r>
        <w:t>hacés</w:t>
      </w:r>
      <w:proofErr w:type="spellEnd"/>
      <w:r>
        <w:t xml:space="preserve"> flaco! ¿Cómo </w:t>
      </w:r>
      <w:proofErr w:type="gramStart"/>
      <w:r>
        <w:t>va?¿</w:t>
      </w:r>
      <w:proofErr w:type="gramEnd"/>
      <w:r>
        <w:t>Hay partido</w:t>
      </w:r>
      <w:r w:rsidR="00735322">
        <w:t xml:space="preserve">? Más vale que voy. Ok, a las cuatro el partido entonces. Bueno, chau, te veo allá. </w:t>
      </w:r>
    </w:p>
    <w:p w:rsidR="003A1BE2" w:rsidRDefault="00735322">
      <w:pPr>
        <w:spacing w:after="218"/>
        <w:ind w:left="-5" w:hanging="10"/>
      </w:pPr>
      <w:proofErr w:type="spellStart"/>
      <w:r>
        <w:rPr>
          <w:b/>
        </w:rPr>
        <w:t>Cronolecto</w:t>
      </w:r>
      <w:proofErr w:type="spellEnd"/>
      <w:r>
        <w:rPr>
          <w:b/>
        </w:rPr>
        <w:t xml:space="preserve">: </w:t>
      </w:r>
      <w:r>
        <w:t xml:space="preserve">adolescente </w:t>
      </w:r>
    </w:p>
    <w:p w:rsidR="003A1BE2" w:rsidRDefault="00735322">
      <w:pPr>
        <w:spacing w:after="208" w:line="267" w:lineRule="auto"/>
        <w:ind w:left="-5" w:hanging="10"/>
      </w:pPr>
      <w:r>
        <w:rPr>
          <w:b/>
        </w:rPr>
        <w:t xml:space="preserve">Dialecto: </w:t>
      </w:r>
      <w:r>
        <w:t xml:space="preserve">regional urbano </w:t>
      </w:r>
    </w:p>
    <w:p w:rsidR="003A1BE2" w:rsidRDefault="00735322">
      <w:pPr>
        <w:spacing w:after="218"/>
        <w:ind w:left="-5" w:hanging="10"/>
      </w:pPr>
      <w:r>
        <w:rPr>
          <w:b/>
        </w:rPr>
        <w:t xml:space="preserve">Sociolecto: </w:t>
      </w:r>
      <w:r>
        <w:t xml:space="preserve">escolarizado </w:t>
      </w:r>
    </w:p>
    <w:p w:rsidR="003607C0" w:rsidRDefault="003607C0">
      <w:pPr>
        <w:spacing w:after="218"/>
        <w:ind w:left="-5" w:hanging="10"/>
      </w:pPr>
    </w:p>
    <w:p w:rsidR="003A1BE2" w:rsidRDefault="00735322">
      <w:pPr>
        <w:spacing w:after="218"/>
      </w:pPr>
      <w:r w:rsidRPr="003607C0">
        <w:rPr>
          <w:b/>
          <w:highlight w:val="green"/>
          <w:u w:val="single" w:color="000000"/>
        </w:rPr>
        <w:t>ACTIVIDADES:</w:t>
      </w:r>
      <w:r>
        <w:rPr>
          <w:b/>
        </w:rPr>
        <w:t xml:space="preserve"> </w:t>
      </w:r>
    </w:p>
    <w:p w:rsidR="003607C0" w:rsidRDefault="00735322">
      <w:pPr>
        <w:spacing w:after="0" w:line="453" w:lineRule="auto"/>
        <w:ind w:left="-5" w:hanging="10"/>
      </w:pPr>
      <w:r>
        <w:t>1)-</w:t>
      </w:r>
      <w:r w:rsidRPr="003607C0">
        <w:rPr>
          <w:b/>
          <w:u w:val="single"/>
        </w:rPr>
        <w:t>Para cada ejemplo, completar una descripción tomando como modelo el ejemplo anterior.</w:t>
      </w:r>
      <w:r>
        <w:t xml:space="preserve">   </w:t>
      </w:r>
      <w:bookmarkStart w:id="0" w:name="_GoBack"/>
      <w:bookmarkEnd w:id="0"/>
    </w:p>
    <w:p w:rsidR="003A1BE2" w:rsidRDefault="00735322">
      <w:pPr>
        <w:spacing w:after="0" w:line="453" w:lineRule="auto"/>
        <w:ind w:left="-5" w:hanging="10"/>
      </w:pPr>
      <w:r>
        <w:t xml:space="preserve"> a)</w:t>
      </w:r>
      <w:proofErr w:type="gramStart"/>
      <w:r>
        <w:t>-¡</w:t>
      </w:r>
      <w:proofErr w:type="spellStart"/>
      <w:proofErr w:type="gramEnd"/>
      <w:r>
        <w:t>Maaaaaa</w:t>
      </w:r>
      <w:proofErr w:type="spellEnd"/>
      <w:r>
        <w:t xml:space="preserve">! ¡Picó bichito! </w:t>
      </w:r>
    </w:p>
    <w:p w:rsidR="003A1BE2" w:rsidRDefault="00735322">
      <w:pPr>
        <w:spacing w:after="208" w:line="267" w:lineRule="auto"/>
        <w:ind w:left="-5" w:hanging="10"/>
      </w:pPr>
      <w:r>
        <w:t xml:space="preserve">   b)</w:t>
      </w:r>
      <w:proofErr w:type="gramStart"/>
      <w:r>
        <w:t>-¿</w:t>
      </w:r>
      <w:proofErr w:type="gramEnd"/>
      <w:r>
        <w:t xml:space="preserve">La semana pasada? ¡Hubiera visto que fiero los mosquitos! ¡Una nube, viera! Ni ir </w:t>
      </w:r>
      <w:proofErr w:type="spellStart"/>
      <w:r>
        <w:t>pa´l</w:t>
      </w:r>
      <w:proofErr w:type="spellEnd"/>
      <w:r>
        <w:t xml:space="preserve"> cañaveral se podía che… </w:t>
      </w:r>
    </w:p>
    <w:p w:rsidR="003A1BE2" w:rsidRDefault="00735322">
      <w:pPr>
        <w:spacing w:after="208" w:line="267" w:lineRule="auto"/>
        <w:ind w:left="-5" w:hanging="10"/>
      </w:pPr>
      <w:r>
        <w:t xml:space="preserve">   c)-El mosquito </w:t>
      </w:r>
      <w:proofErr w:type="spellStart"/>
      <w:r>
        <w:t>Culex</w:t>
      </w:r>
      <w:proofErr w:type="spellEnd"/>
      <w:r>
        <w:t xml:space="preserve"> </w:t>
      </w:r>
      <w:proofErr w:type="spellStart"/>
      <w:r>
        <w:t>Pipiens</w:t>
      </w:r>
      <w:proofErr w:type="spellEnd"/>
      <w:r>
        <w:t xml:space="preserve">, conocido como mosquito común, es un insecto volador, hematófago. Al volar produce un zumbido agudo característico. </w:t>
      </w:r>
    </w:p>
    <w:p w:rsidR="003A1BE2" w:rsidRDefault="003A1BE2">
      <w:pPr>
        <w:spacing w:after="208" w:line="267" w:lineRule="auto"/>
        <w:ind w:left="-5" w:hanging="10"/>
      </w:pPr>
    </w:p>
    <w:sectPr w:rsidR="003A1BE2" w:rsidSect="003148EC">
      <w:pgSz w:w="11906" w:h="16838"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E2"/>
    <w:rsid w:val="003148EC"/>
    <w:rsid w:val="003607C0"/>
    <w:rsid w:val="003A1BE2"/>
    <w:rsid w:val="00735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4744"/>
  <w15:docId w15:val="{D532B499-BDDA-4BC9-8855-3CB851E6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84"/>
      <w:ind w:left="18"/>
      <w:jc w:val="center"/>
      <w:outlineLvl w:val="0"/>
    </w:pPr>
    <w:rPr>
      <w:rFonts w:ascii="Calibri" w:eastAsia="Calibri" w:hAnsi="Calibri" w:cs="Calibri"/>
      <w:b/>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DR ProDs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Noheli Martinez</dc:creator>
  <cp:keywords/>
  <cp:lastModifiedBy>nadia ruiz</cp:lastModifiedBy>
  <cp:revision>3</cp:revision>
  <dcterms:created xsi:type="dcterms:W3CDTF">2021-06-06T01:13:00Z</dcterms:created>
  <dcterms:modified xsi:type="dcterms:W3CDTF">2021-06-06T02:24:00Z</dcterms:modified>
</cp:coreProperties>
</file>