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5B" w:rsidRPr="009137FD" w:rsidRDefault="00213F5B" w:rsidP="00213F5B">
      <w:pPr>
        <w:shd w:val="clear" w:color="auto" w:fill="FFFFFF"/>
        <w:spacing w:after="0" w:line="240" w:lineRule="auto"/>
        <w:jc w:val="center"/>
        <w:textAlignment w:val="top"/>
        <w:outlineLvl w:val="1"/>
        <w:rPr>
          <w:rFonts w:ascii="Arial" w:eastAsia="Times New Roman" w:hAnsi="Arial" w:cs="Arial"/>
          <w:b/>
          <w:color w:val="000000" w:themeColor="text1"/>
          <w:sz w:val="36"/>
          <w:szCs w:val="28"/>
          <w:u w:val="single"/>
          <w:lang w:eastAsia="es-AR"/>
        </w:rPr>
      </w:pPr>
      <w:r w:rsidRPr="009137FD">
        <w:rPr>
          <w:rFonts w:ascii="Arial" w:eastAsia="Times New Roman" w:hAnsi="Arial" w:cs="Arial"/>
          <w:b/>
          <w:color w:val="000000" w:themeColor="text1"/>
          <w:sz w:val="36"/>
          <w:szCs w:val="28"/>
          <w:u w:val="single"/>
          <w:lang w:eastAsia="es-AR"/>
        </w:rPr>
        <w:t>¿QUÉ ES POLINOMIO?</w:t>
      </w:r>
    </w:p>
    <w:p w:rsidR="00213F5B" w:rsidRPr="00213F5B" w:rsidRDefault="00213F5B" w:rsidP="00213F5B">
      <w:pPr>
        <w:shd w:val="clear" w:color="auto" w:fill="FFFFFF"/>
        <w:spacing w:after="0" w:line="240" w:lineRule="auto"/>
        <w:jc w:val="center"/>
        <w:textAlignment w:val="top"/>
        <w:outlineLvl w:val="1"/>
        <w:rPr>
          <w:rFonts w:ascii="Arial" w:eastAsia="Times New Roman" w:hAnsi="Arial" w:cs="Arial"/>
          <w:color w:val="A34340"/>
          <w:sz w:val="28"/>
          <w:szCs w:val="28"/>
          <w:lang w:eastAsia="es-AR"/>
        </w:rPr>
      </w:pPr>
    </w:p>
    <w:p w:rsidR="00213F5B" w:rsidRPr="00213F5B" w:rsidRDefault="00213F5B" w:rsidP="00213F5B">
      <w:pPr>
        <w:shd w:val="clear" w:color="auto" w:fill="FFFFFF"/>
        <w:spacing w:after="0" w:line="240" w:lineRule="auto"/>
        <w:jc w:val="both"/>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Un polinomio es una </w:t>
      </w:r>
      <w:r w:rsidRPr="009137FD">
        <w:rPr>
          <w:rFonts w:ascii="Arial" w:eastAsia="Times New Roman" w:hAnsi="Arial" w:cs="Arial"/>
          <w:b/>
          <w:bCs/>
          <w:color w:val="404040"/>
          <w:sz w:val="28"/>
          <w:szCs w:val="28"/>
          <w:bdr w:val="none" w:sz="0" w:space="0" w:color="auto" w:frame="1"/>
          <w:lang w:eastAsia="es-AR"/>
        </w:rPr>
        <w:t>expresión algebraica de sumas, restas y multiplicaciones ordenadas hecha de variables, constantes y exponentes</w:t>
      </w:r>
      <w:r w:rsidRPr="00213F5B">
        <w:rPr>
          <w:rFonts w:ascii="Arial" w:eastAsia="Times New Roman" w:hAnsi="Arial" w:cs="Arial"/>
          <w:color w:val="404040"/>
          <w:sz w:val="28"/>
          <w:szCs w:val="28"/>
          <w:lang w:eastAsia="es-AR"/>
        </w:rPr>
        <w:t>.</w:t>
      </w:r>
    </w:p>
    <w:p w:rsidR="00213F5B" w:rsidRPr="00213F5B" w:rsidRDefault="00213F5B" w:rsidP="00213F5B">
      <w:pPr>
        <w:shd w:val="clear" w:color="auto" w:fill="FFFFFF"/>
        <w:spacing w:after="300" w:line="240" w:lineRule="auto"/>
        <w:jc w:val="both"/>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En álgebra, un polinomio puede tener más de una variable (x, y, z), constantes (números enteros o fracciones) y exponentes (que solo pueden ser números positivos enteros).</w:t>
      </w:r>
    </w:p>
    <w:p w:rsidR="00213F5B" w:rsidRPr="00213F5B" w:rsidRDefault="00213F5B" w:rsidP="00213F5B">
      <w:pPr>
        <w:shd w:val="clear" w:color="auto" w:fill="FFFFFF"/>
        <w:spacing w:after="300" w:line="240" w:lineRule="auto"/>
        <w:jc w:val="both"/>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Los polinomios están formados por términos finitos. Cada término es una expresión que contiene uno o más de los tres elementos de los que están hechos: variables, constantes o exponentes. Por ejemplo: 9, 9x, 9xy son todos términos. Otra forma de i</w:t>
      </w:r>
      <w:bookmarkStart w:id="0" w:name="_GoBack"/>
      <w:bookmarkEnd w:id="0"/>
      <w:r w:rsidRPr="00213F5B">
        <w:rPr>
          <w:rFonts w:ascii="Arial" w:eastAsia="Times New Roman" w:hAnsi="Arial" w:cs="Arial"/>
          <w:color w:val="404040"/>
          <w:sz w:val="28"/>
          <w:szCs w:val="28"/>
          <w:lang w:eastAsia="es-AR"/>
        </w:rPr>
        <w:t>dentificar los términos es que se separan por sumas y restas.</w:t>
      </w:r>
    </w:p>
    <w:p w:rsidR="00213F5B" w:rsidRPr="00213F5B" w:rsidRDefault="00213F5B" w:rsidP="00213F5B">
      <w:pPr>
        <w:shd w:val="clear" w:color="auto" w:fill="FFFFFF"/>
        <w:spacing w:after="300" w:line="240" w:lineRule="auto"/>
        <w:jc w:val="both"/>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 xml:space="preserve">Para resolver, simplificar, sumar o restar polinomios se deben agrupar los términos con las mismas variables como, por ejemplo, los términos con x, los términos con y </w:t>
      </w:r>
      <w:proofErr w:type="spellStart"/>
      <w:r w:rsidRPr="00213F5B">
        <w:rPr>
          <w:rFonts w:ascii="Arial" w:eastAsia="Times New Roman" w:hAnsi="Arial" w:cs="Arial"/>
          <w:color w:val="404040"/>
          <w:sz w:val="28"/>
          <w:szCs w:val="28"/>
          <w:lang w:eastAsia="es-AR"/>
        </w:rPr>
        <w:t>y</w:t>
      </w:r>
      <w:proofErr w:type="spellEnd"/>
      <w:r w:rsidRPr="00213F5B">
        <w:rPr>
          <w:rFonts w:ascii="Arial" w:eastAsia="Times New Roman" w:hAnsi="Arial" w:cs="Arial"/>
          <w:color w:val="404040"/>
          <w:sz w:val="28"/>
          <w:szCs w:val="28"/>
          <w:lang w:eastAsia="es-AR"/>
        </w:rPr>
        <w:t xml:space="preserve"> los términos que no tienen variables. Además, es importante fijarse en el signo que está antes del término que determinará si suma, resta o multiplica. Por ejemplo:</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4x + 5y + 2xy + 2y +2</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Se agrupan, suman o restan los términos con las mismas variables, o sea:</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+4x = 4x</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+5y +2y = 7y</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+2xy = 2xy</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+2 = 2</w:t>
      </w:r>
    </w:p>
    <w:p w:rsidR="00213F5B" w:rsidRPr="009137FD"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Resultado final es: 4x + 7y + 2xy + 2</w:t>
      </w:r>
    </w:p>
    <w:p w:rsidR="00213F5B" w:rsidRPr="00213F5B" w:rsidRDefault="00213F5B" w:rsidP="00213F5B">
      <w:pPr>
        <w:shd w:val="clear" w:color="auto" w:fill="FFFFFF"/>
        <w:spacing w:after="0" w:line="240" w:lineRule="auto"/>
        <w:textAlignment w:val="top"/>
        <w:outlineLvl w:val="1"/>
        <w:rPr>
          <w:rFonts w:ascii="Arial" w:eastAsia="Times New Roman" w:hAnsi="Arial" w:cs="Arial"/>
          <w:color w:val="A34340"/>
          <w:sz w:val="28"/>
          <w:szCs w:val="28"/>
          <w:lang w:eastAsia="es-AR"/>
        </w:rPr>
      </w:pPr>
      <w:r w:rsidRPr="00213F5B">
        <w:rPr>
          <w:rFonts w:ascii="Arial" w:eastAsia="Times New Roman" w:hAnsi="Arial" w:cs="Arial"/>
          <w:color w:val="A34340"/>
          <w:sz w:val="28"/>
          <w:szCs w:val="28"/>
          <w:lang w:eastAsia="es-AR"/>
        </w:rPr>
        <w:t>Tipos de polinomios</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La cantidad de términos que un polinomio tiene indicará qué tipo de polinomio es, por ejemplo,</w:t>
      </w:r>
    </w:p>
    <w:p w:rsidR="00213F5B" w:rsidRPr="00213F5B" w:rsidRDefault="00213F5B" w:rsidP="00213F5B">
      <w:pPr>
        <w:numPr>
          <w:ilvl w:val="0"/>
          <w:numId w:val="1"/>
        </w:numPr>
        <w:shd w:val="clear" w:color="auto" w:fill="FFFFFF"/>
        <w:spacing w:before="120" w:after="120" w:line="240" w:lineRule="auto"/>
        <w:ind w:left="0"/>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lastRenderedPageBreak/>
        <w:t>Polinomio de un término: monomio, por ejemplo, 8xy.</w:t>
      </w:r>
    </w:p>
    <w:p w:rsidR="00213F5B" w:rsidRPr="00213F5B" w:rsidRDefault="00213F5B" w:rsidP="00213F5B">
      <w:pPr>
        <w:numPr>
          <w:ilvl w:val="0"/>
          <w:numId w:val="1"/>
        </w:numPr>
        <w:shd w:val="clear" w:color="auto" w:fill="FFFFFF"/>
        <w:spacing w:before="120" w:after="120" w:line="240" w:lineRule="auto"/>
        <w:ind w:left="0"/>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Polinomio de dos términos: binomio, por ejemplo, 8xy - 2y.</w:t>
      </w:r>
    </w:p>
    <w:p w:rsidR="00213F5B" w:rsidRPr="00213F5B" w:rsidRDefault="00213F5B" w:rsidP="00213F5B">
      <w:pPr>
        <w:numPr>
          <w:ilvl w:val="0"/>
          <w:numId w:val="1"/>
        </w:numPr>
        <w:shd w:val="clear" w:color="auto" w:fill="FFFFFF"/>
        <w:spacing w:before="120" w:after="120" w:line="240" w:lineRule="auto"/>
        <w:ind w:left="0"/>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Polinomio de tres términos: trinomio, por ejemplo, 8xy - 2y + 4.</w:t>
      </w:r>
    </w:p>
    <w:p w:rsidR="00213F5B" w:rsidRPr="00213F5B" w:rsidRDefault="00213F5B" w:rsidP="00213F5B">
      <w:pPr>
        <w:shd w:val="clear" w:color="auto" w:fill="FFFFFF"/>
        <w:spacing w:after="0" w:line="240" w:lineRule="auto"/>
        <w:textAlignment w:val="top"/>
        <w:outlineLvl w:val="1"/>
        <w:rPr>
          <w:rFonts w:ascii="Arial" w:eastAsia="Times New Roman" w:hAnsi="Arial" w:cs="Arial"/>
          <w:color w:val="A34340"/>
          <w:sz w:val="28"/>
          <w:szCs w:val="28"/>
          <w:lang w:eastAsia="es-AR"/>
        </w:rPr>
      </w:pPr>
      <w:r w:rsidRPr="00213F5B">
        <w:rPr>
          <w:rFonts w:ascii="Arial" w:eastAsia="Times New Roman" w:hAnsi="Arial" w:cs="Arial"/>
          <w:color w:val="A34340"/>
          <w:sz w:val="28"/>
          <w:szCs w:val="28"/>
          <w:lang w:eastAsia="es-AR"/>
        </w:rPr>
        <w:t>Grado de polinomio</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El grado de un polinomio de una sola variable es el mayor exponente. El grado de un polinomio con más de una variable es determinado por el término con el mayor exponente. Por ejemplo: el polinomio 3x+8xy+7x2y</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3x: grado 1</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8xy: grado 2 (x</w:t>
      </w:r>
      <w:proofErr w:type="gramStart"/>
      <w:r w:rsidRPr="00213F5B">
        <w:rPr>
          <w:rFonts w:ascii="Arial" w:eastAsia="Times New Roman" w:hAnsi="Arial" w:cs="Arial"/>
          <w:color w:val="404040"/>
          <w:sz w:val="28"/>
          <w:szCs w:val="28"/>
          <w:lang w:eastAsia="es-AR"/>
        </w:rPr>
        <w:t>:1</w:t>
      </w:r>
      <w:proofErr w:type="gramEnd"/>
      <w:r w:rsidRPr="00213F5B">
        <w:rPr>
          <w:rFonts w:ascii="Arial" w:eastAsia="Times New Roman" w:hAnsi="Arial" w:cs="Arial"/>
          <w:color w:val="404040"/>
          <w:sz w:val="28"/>
          <w:szCs w:val="28"/>
          <w:lang w:eastAsia="es-AR"/>
        </w:rPr>
        <w:t xml:space="preserve"> + y:1= 2)</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7x2y</w:t>
      </w:r>
      <w:proofErr w:type="gramStart"/>
      <w:r w:rsidRPr="00213F5B">
        <w:rPr>
          <w:rFonts w:ascii="Arial" w:eastAsia="Times New Roman" w:hAnsi="Arial" w:cs="Arial"/>
          <w:color w:val="404040"/>
          <w:sz w:val="28"/>
          <w:szCs w:val="28"/>
          <w:lang w:eastAsia="es-AR"/>
        </w:rPr>
        <w:t>:grado</w:t>
      </w:r>
      <w:proofErr w:type="gramEnd"/>
      <w:r w:rsidRPr="00213F5B">
        <w:rPr>
          <w:rFonts w:ascii="Arial" w:eastAsia="Times New Roman" w:hAnsi="Arial" w:cs="Arial"/>
          <w:color w:val="404040"/>
          <w:sz w:val="28"/>
          <w:szCs w:val="28"/>
          <w:lang w:eastAsia="es-AR"/>
        </w:rPr>
        <w:t xml:space="preserve"> 3 (x:2 + y:1=3)</w:t>
      </w:r>
    </w:p>
    <w:p w:rsidR="00213F5B" w:rsidRPr="009137FD"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r w:rsidRPr="00213F5B">
        <w:rPr>
          <w:rFonts w:ascii="Arial" w:eastAsia="Times New Roman" w:hAnsi="Arial" w:cs="Arial"/>
          <w:color w:val="404040"/>
          <w:sz w:val="28"/>
          <w:szCs w:val="28"/>
          <w:lang w:eastAsia="es-AR"/>
        </w:rPr>
        <w:t>Esto significa que el grado del polinomio es 3 siendo el mayor exponente de los tres términos que lo componen.</w:t>
      </w:r>
    </w:p>
    <w:p w:rsidR="00213F5B" w:rsidRPr="00213F5B" w:rsidRDefault="009137FD" w:rsidP="00213F5B">
      <w:pPr>
        <w:shd w:val="clear" w:color="auto" w:fill="FFFFFF"/>
        <w:spacing w:before="100" w:beforeAutospacing="1" w:after="100" w:afterAutospacing="1" w:line="240" w:lineRule="auto"/>
        <w:jc w:val="center"/>
        <w:outlineLvl w:val="0"/>
        <w:rPr>
          <w:rFonts w:ascii="Arial" w:eastAsia="Times New Roman" w:hAnsi="Arial" w:cs="Arial"/>
          <w:b/>
          <w:bCs/>
          <w:color w:val="373737"/>
          <w:kern w:val="36"/>
          <w:sz w:val="36"/>
          <w:szCs w:val="28"/>
          <w:u w:val="single"/>
          <w:lang w:eastAsia="es-AR"/>
        </w:rPr>
      </w:pPr>
      <w:r w:rsidRPr="009137FD">
        <w:rPr>
          <w:rFonts w:ascii="Arial" w:eastAsia="Times New Roman" w:hAnsi="Arial" w:cs="Arial"/>
          <w:b/>
          <w:bCs/>
          <w:color w:val="373737"/>
          <w:kern w:val="36"/>
          <w:sz w:val="36"/>
          <w:szCs w:val="28"/>
          <w:u w:val="single"/>
          <w:lang w:eastAsia="es-AR"/>
        </w:rPr>
        <w:t>RAZONES TRIGONOMÉTRICAS</w:t>
      </w:r>
    </w:p>
    <w:p w:rsidR="00213F5B" w:rsidRPr="00213F5B" w:rsidRDefault="00213F5B" w:rsidP="00213F5B">
      <w:pPr>
        <w:shd w:val="clear" w:color="auto" w:fill="FFFFFF"/>
        <w:spacing w:before="100" w:beforeAutospacing="1" w:after="100" w:afterAutospacing="1" w:line="240" w:lineRule="auto"/>
        <w:jc w:val="both"/>
        <w:rPr>
          <w:rFonts w:ascii="Arial" w:eastAsia="Times New Roman" w:hAnsi="Arial" w:cs="Arial"/>
          <w:color w:val="373737"/>
          <w:sz w:val="28"/>
          <w:szCs w:val="28"/>
          <w:lang w:eastAsia="es-AR"/>
        </w:rPr>
      </w:pPr>
      <w:r w:rsidRPr="00213F5B">
        <w:rPr>
          <w:rFonts w:ascii="Arial" w:eastAsia="Times New Roman" w:hAnsi="Arial" w:cs="Arial"/>
          <w:noProof/>
          <w:color w:val="373737"/>
          <w:sz w:val="28"/>
          <w:szCs w:val="28"/>
          <w:lang w:eastAsia="es-AR"/>
        </w:rPr>
        <w:drawing>
          <wp:anchor distT="0" distB="0" distL="114300" distR="114300" simplePos="0" relativeHeight="251658240" behindDoc="0" locked="0" layoutInCell="1" allowOverlap="1" wp14:anchorId="74F12226" wp14:editId="61B7F3CE">
            <wp:simplePos x="0" y="0"/>
            <wp:positionH relativeFrom="column">
              <wp:posOffset>-24130</wp:posOffset>
            </wp:positionH>
            <wp:positionV relativeFrom="paragraph">
              <wp:posOffset>1423670</wp:posOffset>
            </wp:positionV>
            <wp:extent cx="5699760" cy="3204845"/>
            <wp:effectExtent l="0" t="0" r="0" b="0"/>
            <wp:wrapSquare wrapText="bothSides"/>
            <wp:docPr id="64" name="Imagen 64" descr="Razones_Trigonomé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azones_Trigonométric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9760" cy="320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F5B">
        <w:rPr>
          <w:rFonts w:ascii="Arial" w:eastAsia="Times New Roman" w:hAnsi="Arial" w:cs="Arial"/>
          <w:color w:val="373737"/>
          <w:sz w:val="28"/>
          <w:szCs w:val="28"/>
          <w:lang w:eastAsia="es-AR"/>
        </w:rPr>
        <w:t>El </w:t>
      </w:r>
      <w:hyperlink r:id="rId7" w:history="1">
        <w:r w:rsidRPr="00213F5B">
          <w:rPr>
            <w:rFonts w:ascii="Arial" w:eastAsia="Times New Roman" w:hAnsi="Arial" w:cs="Arial"/>
            <w:color w:val="E6B41F"/>
            <w:sz w:val="28"/>
            <w:szCs w:val="28"/>
            <w:u w:val="single"/>
            <w:lang w:eastAsia="es-AR"/>
          </w:rPr>
          <w:t>término</w:t>
        </w:r>
      </w:hyperlink>
      <w:r w:rsidRPr="00213F5B">
        <w:rPr>
          <w:rFonts w:ascii="Arial" w:eastAsia="Times New Roman" w:hAnsi="Arial" w:cs="Arial"/>
          <w:color w:val="373737"/>
          <w:sz w:val="28"/>
          <w:szCs w:val="28"/>
          <w:lang w:eastAsia="es-AR"/>
        </w:rPr>
        <w:t> Razones Trigonométricas se refiere a los </w:t>
      </w:r>
      <w:r w:rsidRPr="00213F5B">
        <w:rPr>
          <w:rFonts w:ascii="Arial" w:eastAsia="Times New Roman" w:hAnsi="Arial" w:cs="Arial"/>
          <w:b/>
          <w:bCs/>
          <w:color w:val="373737"/>
          <w:sz w:val="28"/>
          <w:szCs w:val="28"/>
          <w:lang w:eastAsia="es-AR"/>
        </w:rPr>
        <w:t>enlaces</w:t>
      </w:r>
      <w:r w:rsidRPr="00213F5B">
        <w:rPr>
          <w:rFonts w:ascii="Arial" w:eastAsia="Times New Roman" w:hAnsi="Arial" w:cs="Arial"/>
          <w:color w:val="373737"/>
          <w:sz w:val="28"/>
          <w:szCs w:val="28"/>
          <w:lang w:eastAsia="es-AR"/>
        </w:rPr>
        <w:t> que se pueden establecer, entre los lados de un triángulo que tiene un ángulo de 90º. Hay tres grandes razones trigonométricas: tangente, seno y </w:t>
      </w:r>
      <w:hyperlink r:id="rId8" w:history="1">
        <w:r w:rsidRPr="00213F5B">
          <w:rPr>
            <w:rFonts w:ascii="Arial" w:eastAsia="Times New Roman" w:hAnsi="Arial" w:cs="Arial"/>
            <w:color w:val="E6B41F"/>
            <w:sz w:val="28"/>
            <w:szCs w:val="28"/>
            <w:u w:val="single"/>
            <w:lang w:eastAsia="es-AR"/>
          </w:rPr>
          <w:t>coseno</w:t>
        </w:r>
      </w:hyperlink>
      <w:r w:rsidRPr="00213F5B">
        <w:rPr>
          <w:rFonts w:ascii="Arial" w:eastAsia="Times New Roman" w:hAnsi="Arial" w:cs="Arial"/>
          <w:color w:val="373737"/>
          <w:sz w:val="28"/>
          <w:szCs w:val="28"/>
          <w:lang w:eastAsia="es-AR"/>
        </w:rPr>
        <w:t>. En la física, la astronomía, </w:t>
      </w:r>
      <w:hyperlink r:id="rId9" w:tgtFrame="_blank" w:tooltip="¿Qué es la Cartografía? - geoenciclopedia.com" w:history="1">
        <w:r w:rsidRPr="00213F5B">
          <w:rPr>
            <w:rFonts w:ascii="Arial" w:eastAsia="Times New Roman" w:hAnsi="Arial" w:cs="Arial"/>
            <w:b/>
            <w:bCs/>
            <w:color w:val="E6B41F"/>
            <w:sz w:val="28"/>
            <w:szCs w:val="28"/>
            <w:u w:val="single"/>
            <w:lang w:eastAsia="es-AR"/>
          </w:rPr>
          <w:t>cartografía</w:t>
        </w:r>
      </w:hyperlink>
      <w:r w:rsidRPr="00213F5B">
        <w:rPr>
          <w:rFonts w:ascii="Arial" w:eastAsia="Times New Roman" w:hAnsi="Arial" w:cs="Arial"/>
          <w:color w:val="373737"/>
          <w:sz w:val="28"/>
          <w:szCs w:val="28"/>
          <w:lang w:eastAsia="es-AR"/>
        </w:rPr>
        <w:t xml:space="preserve">, náutica, telecomunicaciones, las razones trigonométricas son de gran importancia, así como en la representación de fenómenos periódicos y </w:t>
      </w:r>
      <w:r w:rsidRPr="00213F5B">
        <w:rPr>
          <w:rFonts w:ascii="Arial" w:eastAsia="Times New Roman" w:hAnsi="Arial" w:cs="Arial"/>
          <w:color w:val="373737"/>
          <w:sz w:val="28"/>
          <w:szCs w:val="28"/>
          <w:lang w:eastAsia="es-AR"/>
        </w:rPr>
        <w:lastRenderedPageBreak/>
        <w:t>muchas otras aplicaciones.</w:t>
      </w:r>
    </w:p>
    <w:p w:rsidR="00213F5B" w:rsidRPr="00213F5B" w:rsidRDefault="00213F5B" w:rsidP="00213F5B">
      <w:pPr>
        <w:shd w:val="clear" w:color="auto" w:fill="FFFFFF"/>
        <w:spacing w:before="100" w:beforeAutospacing="1" w:after="100" w:afterAutospacing="1" w:line="240" w:lineRule="auto"/>
        <w:rPr>
          <w:rFonts w:ascii="Arial" w:eastAsia="Times New Roman" w:hAnsi="Arial" w:cs="Arial"/>
          <w:color w:val="373737"/>
          <w:sz w:val="28"/>
          <w:szCs w:val="28"/>
          <w:lang w:eastAsia="es-AR"/>
        </w:rPr>
      </w:pPr>
    </w:p>
    <w:p w:rsidR="00213F5B" w:rsidRPr="00213F5B" w:rsidRDefault="00213F5B" w:rsidP="00213F5B">
      <w:pPr>
        <w:shd w:val="clear" w:color="auto" w:fill="FFFFFF"/>
        <w:spacing w:before="100" w:beforeAutospacing="1" w:after="100" w:afterAutospacing="1" w:line="240" w:lineRule="auto"/>
        <w:jc w:val="both"/>
        <w:rPr>
          <w:rFonts w:ascii="Arial" w:eastAsia="Times New Roman" w:hAnsi="Arial" w:cs="Arial"/>
          <w:color w:val="373737"/>
          <w:sz w:val="28"/>
          <w:szCs w:val="28"/>
          <w:lang w:eastAsia="es-AR"/>
        </w:rPr>
      </w:pPr>
      <w:r w:rsidRPr="00213F5B">
        <w:rPr>
          <w:rFonts w:ascii="Arial" w:eastAsia="Times New Roman" w:hAnsi="Arial" w:cs="Arial"/>
          <w:b/>
          <w:bCs/>
          <w:color w:val="373737"/>
          <w:sz w:val="28"/>
          <w:szCs w:val="28"/>
          <w:lang w:eastAsia="es-AR"/>
        </w:rPr>
        <w:t>Trigonometría</w:t>
      </w:r>
      <w:r w:rsidRPr="00213F5B">
        <w:rPr>
          <w:rFonts w:ascii="Arial" w:eastAsia="Times New Roman" w:hAnsi="Arial" w:cs="Arial"/>
          <w:color w:val="373737"/>
          <w:sz w:val="28"/>
          <w:szCs w:val="28"/>
          <w:lang w:eastAsia="es-AR"/>
        </w:rPr>
        <w:t> es el nombre de la </w:t>
      </w:r>
      <w:r w:rsidRPr="00213F5B">
        <w:rPr>
          <w:rFonts w:ascii="Arial" w:eastAsia="Times New Roman" w:hAnsi="Arial" w:cs="Arial"/>
          <w:b/>
          <w:bCs/>
          <w:color w:val="373737"/>
          <w:sz w:val="28"/>
          <w:szCs w:val="28"/>
          <w:lang w:eastAsia="es-AR"/>
        </w:rPr>
        <w:t>rama</w:t>
      </w:r>
      <w:r w:rsidRPr="00213F5B">
        <w:rPr>
          <w:rFonts w:ascii="Arial" w:eastAsia="Times New Roman" w:hAnsi="Arial" w:cs="Arial"/>
          <w:color w:val="373737"/>
          <w:sz w:val="28"/>
          <w:szCs w:val="28"/>
          <w:lang w:eastAsia="es-AR"/>
        </w:rPr>
        <w:t> de las matemáticas que se dedica a realizar cálculos vinculados a los elementos de un triángulo. Para esto, funciona con unidades como el grado sexagesimal (que se utiliza al dividir una circunferencia en 360 grados sexagesimal), el grado centesimal (la división se hace en 400 grados centesimales) y el radián (que se toma como la unidad </w:t>
      </w:r>
      <w:hyperlink r:id="rId10" w:history="1">
        <w:r w:rsidRPr="00213F5B">
          <w:rPr>
            <w:rFonts w:ascii="Arial" w:eastAsia="Times New Roman" w:hAnsi="Arial" w:cs="Arial"/>
            <w:color w:val="E6B41F"/>
            <w:sz w:val="28"/>
            <w:szCs w:val="28"/>
            <w:u w:val="single"/>
            <w:lang w:eastAsia="es-AR"/>
          </w:rPr>
          <w:t>natural</w:t>
        </w:r>
      </w:hyperlink>
      <w:r w:rsidRPr="00213F5B">
        <w:rPr>
          <w:rFonts w:ascii="Arial" w:eastAsia="Times New Roman" w:hAnsi="Arial" w:cs="Arial"/>
          <w:color w:val="373737"/>
          <w:sz w:val="28"/>
          <w:szCs w:val="28"/>
          <w:lang w:eastAsia="es-AR"/>
        </w:rPr>
        <w:t> de los ángulos), e indica que la circunferencia es susceptible de división en 2 pi radianes).</w:t>
      </w:r>
    </w:p>
    <w:p w:rsidR="00213F5B" w:rsidRPr="00213F5B" w:rsidRDefault="00213F5B" w:rsidP="00213F5B">
      <w:pPr>
        <w:shd w:val="clear" w:color="auto" w:fill="FFFFFF"/>
        <w:spacing w:before="100" w:beforeAutospacing="1" w:after="100" w:afterAutospacing="1" w:line="240" w:lineRule="auto"/>
        <w:jc w:val="both"/>
        <w:rPr>
          <w:rFonts w:ascii="Arial" w:eastAsia="Times New Roman" w:hAnsi="Arial" w:cs="Arial"/>
          <w:color w:val="373737"/>
          <w:sz w:val="28"/>
          <w:szCs w:val="28"/>
          <w:lang w:eastAsia="es-AR"/>
        </w:rPr>
      </w:pPr>
      <w:r w:rsidRPr="00213F5B">
        <w:rPr>
          <w:rFonts w:ascii="Arial" w:eastAsia="Times New Roman" w:hAnsi="Arial" w:cs="Arial"/>
          <w:color w:val="373737"/>
          <w:sz w:val="28"/>
          <w:szCs w:val="28"/>
          <w:lang w:eastAsia="es-AR"/>
        </w:rPr>
        <w:t>Las razones trigonométricas </w:t>
      </w:r>
      <w:r w:rsidRPr="00213F5B">
        <w:rPr>
          <w:rFonts w:ascii="Arial" w:eastAsia="Times New Roman" w:hAnsi="Arial" w:cs="Arial"/>
          <w:b/>
          <w:bCs/>
          <w:color w:val="373737"/>
          <w:sz w:val="28"/>
          <w:szCs w:val="28"/>
          <w:lang w:eastAsia="es-AR"/>
        </w:rPr>
        <w:t>seno</w:t>
      </w:r>
      <w:r w:rsidRPr="00213F5B">
        <w:rPr>
          <w:rFonts w:ascii="Arial" w:eastAsia="Times New Roman" w:hAnsi="Arial" w:cs="Arial"/>
          <w:color w:val="373737"/>
          <w:sz w:val="28"/>
          <w:szCs w:val="28"/>
          <w:lang w:eastAsia="es-AR"/>
        </w:rPr>
        <w:t>, coseno, tangente, cosecante, secante y cotangente generalmente se definen en un triángulo </w:t>
      </w:r>
      <w:r w:rsidRPr="00213F5B">
        <w:rPr>
          <w:rFonts w:ascii="Arial" w:eastAsia="Times New Roman" w:hAnsi="Arial" w:cs="Arial"/>
          <w:b/>
          <w:bCs/>
          <w:color w:val="373737"/>
          <w:sz w:val="28"/>
          <w:szCs w:val="28"/>
          <w:lang w:eastAsia="es-AR"/>
        </w:rPr>
        <w:t>rectángulo</w:t>
      </w:r>
      <w:r w:rsidRPr="00213F5B">
        <w:rPr>
          <w:rFonts w:ascii="Arial" w:eastAsia="Times New Roman" w:hAnsi="Arial" w:cs="Arial"/>
          <w:color w:val="373737"/>
          <w:sz w:val="28"/>
          <w:szCs w:val="28"/>
          <w:lang w:eastAsia="es-AR"/>
        </w:rPr>
        <w:t>, pero esta definición es corta, ya que es necesario encontrar tales razones para los ángulos que no se pueden representar en un triángulo rectángulo, como es el caso con cualquier ángulo igual o mayor a 90 grados. Por eso es necesario redefinir estos motivos utilizando </w:t>
      </w:r>
      <w:hyperlink r:id="rId11" w:tgtFrame="_blank" w:tooltip="Plano Cartesiano - profesorenlinea.cl" w:history="1">
        <w:r w:rsidRPr="00213F5B">
          <w:rPr>
            <w:rFonts w:ascii="Arial" w:eastAsia="Times New Roman" w:hAnsi="Arial" w:cs="Arial"/>
            <w:b/>
            <w:bCs/>
            <w:color w:val="E6B41F"/>
            <w:sz w:val="28"/>
            <w:szCs w:val="28"/>
            <w:u w:val="single"/>
            <w:lang w:eastAsia="es-AR"/>
          </w:rPr>
          <w:t>el sistema cartesiano</w:t>
        </w:r>
      </w:hyperlink>
      <w:r w:rsidRPr="00213F5B">
        <w:rPr>
          <w:rFonts w:ascii="Arial" w:eastAsia="Times New Roman" w:hAnsi="Arial" w:cs="Arial"/>
          <w:color w:val="373737"/>
          <w:sz w:val="28"/>
          <w:szCs w:val="28"/>
          <w:lang w:eastAsia="es-AR"/>
        </w:rPr>
        <w:t> que nos ayuda a representar cualquier ángulo entre 0 y 360 grados.</w:t>
      </w:r>
    </w:p>
    <w:p w:rsidR="00213F5B" w:rsidRPr="00213F5B" w:rsidRDefault="00213F5B" w:rsidP="00213F5B">
      <w:pPr>
        <w:shd w:val="clear" w:color="auto" w:fill="FFFFFF"/>
        <w:spacing w:before="100" w:beforeAutospacing="1" w:after="100" w:afterAutospacing="1" w:line="240" w:lineRule="auto"/>
        <w:jc w:val="both"/>
        <w:rPr>
          <w:rFonts w:ascii="Arial" w:eastAsia="Times New Roman" w:hAnsi="Arial" w:cs="Arial"/>
          <w:color w:val="373737"/>
          <w:sz w:val="28"/>
          <w:szCs w:val="28"/>
          <w:lang w:eastAsia="es-AR"/>
        </w:rPr>
      </w:pPr>
      <w:r w:rsidRPr="00213F5B">
        <w:rPr>
          <w:rFonts w:ascii="Arial" w:eastAsia="Times New Roman" w:hAnsi="Arial" w:cs="Arial"/>
          <w:color w:val="373737"/>
          <w:sz w:val="28"/>
          <w:szCs w:val="28"/>
          <w:lang w:eastAsia="es-AR"/>
        </w:rPr>
        <w:t>La </w:t>
      </w:r>
      <w:r w:rsidRPr="00213F5B">
        <w:rPr>
          <w:rFonts w:ascii="Arial" w:eastAsia="Times New Roman" w:hAnsi="Arial" w:cs="Arial"/>
          <w:b/>
          <w:bCs/>
          <w:color w:val="373737"/>
          <w:sz w:val="28"/>
          <w:szCs w:val="28"/>
          <w:lang w:eastAsia="es-AR"/>
        </w:rPr>
        <w:t>relación</w:t>
      </w:r>
      <w:r w:rsidRPr="00213F5B">
        <w:rPr>
          <w:rFonts w:ascii="Arial" w:eastAsia="Times New Roman" w:hAnsi="Arial" w:cs="Arial"/>
          <w:color w:val="373737"/>
          <w:sz w:val="28"/>
          <w:szCs w:val="28"/>
          <w:lang w:eastAsia="es-AR"/>
        </w:rPr>
        <w:t xml:space="preserve"> trigonométrica tangente es la relación entre el cateto </w:t>
      </w:r>
      <w:proofErr w:type="gramStart"/>
      <w:r w:rsidRPr="00213F5B">
        <w:rPr>
          <w:rFonts w:ascii="Arial" w:eastAsia="Times New Roman" w:hAnsi="Arial" w:cs="Arial"/>
          <w:color w:val="373737"/>
          <w:sz w:val="28"/>
          <w:szCs w:val="28"/>
          <w:lang w:eastAsia="es-AR"/>
        </w:rPr>
        <w:t>opuesta</w:t>
      </w:r>
      <w:proofErr w:type="gramEnd"/>
      <w:r w:rsidRPr="00213F5B">
        <w:rPr>
          <w:rFonts w:ascii="Arial" w:eastAsia="Times New Roman" w:hAnsi="Arial" w:cs="Arial"/>
          <w:color w:val="373737"/>
          <w:sz w:val="28"/>
          <w:szCs w:val="28"/>
          <w:lang w:eastAsia="es-AR"/>
        </w:rPr>
        <w:t xml:space="preserve"> y el </w:t>
      </w:r>
      <w:r w:rsidRPr="00213F5B">
        <w:rPr>
          <w:rFonts w:ascii="Arial" w:eastAsia="Times New Roman" w:hAnsi="Arial" w:cs="Arial"/>
          <w:b/>
          <w:bCs/>
          <w:color w:val="373737"/>
          <w:sz w:val="28"/>
          <w:szCs w:val="28"/>
          <w:lang w:eastAsia="es-AR"/>
        </w:rPr>
        <w:t>cateto</w:t>
      </w:r>
      <w:r w:rsidRPr="00213F5B">
        <w:rPr>
          <w:rFonts w:ascii="Arial" w:eastAsia="Times New Roman" w:hAnsi="Arial" w:cs="Arial"/>
          <w:color w:val="373737"/>
          <w:sz w:val="28"/>
          <w:szCs w:val="28"/>
          <w:lang w:eastAsia="es-AR"/>
        </w:rPr>
        <w:t> adyacente. El seno, por otro lado, es la relación entre el cateto opuesto y la hipotenusa, mientras que el coseno es la relación entre el cateto adyacente y la hipotenusa.</w:t>
      </w:r>
    </w:p>
    <w:p w:rsidR="00213F5B" w:rsidRPr="00213F5B" w:rsidRDefault="00213F5B" w:rsidP="00213F5B">
      <w:pPr>
        <w:shd w:val="clear" w:color="auto" w:fill="FFFFFF"/>
        <w:spacing w:before="100" w:beforeAutospacing="1" w:after="100" w:afterAutospacing="1" w:line="240" w:lineRule="auto"/>
        <w:jc w:val="both"/>
        <w:rPr>
          <w:rFonts w:ascii="Arial" w:eastAsia="Times New Roman" w:hAnsi="Arial" w:cs="Arial"/>
          <w:color w:val="373737"/>
          <w:sz w:val="28"/>
          <w:szCs w:val="28"/>
          <w:lang w:eastAsia="es-AR"/>
        </w:rPr>
      </w:pPr>
      <w:r w:rsidRPr="00213F5B">
        <w:rPr>
          <w:rFonts w:ascii="Arial" w:eastAsia="Times New Roman" w:hAnsi="Arial" w:cs="Arial"/>
          <w:color w:val="373737"/>
          <w:sz w:val="28"/>
          <w:szCs w:val="28"/>
          <w:lang w:eastAsia="es-AR"/>
        </w:rPr>
        <w:t>Para comprender estas proporciones trigonométricas, por supuesto, debes saber qué son los catetos y la hipotenusa. El cateto adyacente es el que pasa por el ángulo de noventa </w:t>
      </w:r>
      <w:r w:rsidRPr="00213F5B">
        <w:rPr>
          <w:rFonts w:ascii="Arial" w:eastAsia="Times New Roman" w:hAnsi="Arial" w:cs="Arial"/>
          <w:b/>
          <w:bCs/>
          <w:color w:val="373737"/>
          <w:sz w:val="28"/>
          <w:szCs w:val="28"/>
          <w:lang w:eastAsia="es-AR"/>
        </w:rPr>
        <w:t>grados</w:t>
      </w:r>
      <w:r w:rsidRPr="00213F5B">
        <w:rPr>
          <w:rFonts w:ascii="Arial" w:eastAsia="Times New Roman" w:hAnsi="Arial" w:cs="Arial"/>
          <w:color w:val="373737"/>
          <w:sz w:val="28"/>
          <w:szCs w:val="28"/>
          <w:lang w:eastAsia="es-AR"/>
        </w:rPr>
        <w:t>, mientras que la otra es exactamente lo opuesto al ángulo. Ambos, por lo tanto, componen el ángulo de 90º. La hipotenusa, por otro lado, es el lado principal del triángulo.</w:t>
      </w:r>
    </w:p>
    <w:p w:rsidR="00213F5B" w:rsidRPr="00213F5B" w:rsidRDefault="00213F5B" w:rsidP="00213F5B">
      <w:pPr>
        <w:shd w:val="clear" w:color="auto" w:fill="FFFFFF"/>
        <w:spacing w:before="100" w:beforeAutospacing="1" w:after="100" w:afterAutospacing="1" w:line="240" w:lineRule="auto"/>
        <w:jc w:val="both"/>
        <w:rPr>
          <w:rFonts w:ascii="Arial" w:eastAsia="Times New Roman" w:hAnsi="Arial" w:cs="Arial"/>
          <w:color w:val="373737"/>
          <w:sz w:val="28"/>
          <w:szCs w:val="28"/>
          <w:lang w:eastAsia="es-AR"/>
        </w:rPr>
      </w:pPr>
      <w:r w:rsidRPr="00213F5B">
        <w:rPr>
          <w:rFonts w:ascii="Arial" w:eastAsia="Times New Roman" w:hAnsi="Arial" w:cs="Arial"/>
          <w:color w:val="373737"/>
          <w:sz w:val="28"/>
          <w:szCs w:val="28"/>
          <w:lang w:eastAsia="es-AR"/>
        </w:rPr>
        <w:t>Además de la tangente, el seno y el coseno, se puede reconocer otras relaciones trigonométricas que son menos utilizadas, como la </w:t>
      </w:r>
      <w:r w:rsidRPr="00213F5B">
        <w:rPr>
          <w:rFonts w:ascii="Arial" w:eastAsia="Times New Roman" w:hAnsi="Arial" w:cs="Arial"/>
          <w:b/>
          <w:bCs/>
          <w:color w:val="373737"/>
          <w:sz w:val="28"/>
          <w:szCs w:val="28"/>
          <w:lang w:eastAsia="es-AR"/>
        </w:rPr>
        <w:t>cotangente</w:t>
      </w:r>
      <w:r w:rsidRPr="00213F5B">
        <w:rPr>
          <w:rFonts w:ascii="Arial" w:eastAsia="Times New Roman" w:hAnsi="Arial" w:cs="Arial"/>
          <w:color w:val="373737"/>
          <w:sz w:val="28"/>
          <w:szCs w:val="28"/>
          <w:lang w:eastAsia="es-AR"/>
        </w:rPr>
        <w:t> (la relación entre el cateto adyacente y el cateto opuesta), la cosecante (la relación entre la hipotenusa y el cateto opuesto) y secante (la relación entre la hipotenusa y el cateto adyacente).</w:t>
      </w:r>
    </w:p>
    <w:p w:rsidR="00213F5B" w:rsidRPr="00213F5B" w:rsidRDefault="00213F5B" w:rsidP="00213F5B">
      <w:pPr>
        <w:shd w:val="clear" w:color="auto" w:fill="FFFFFF"/>
        <w:spacing w:after="300" w:line="240" w:lineRule="auto"/>
        <w:textAlignment w:val="top"/>
        <w:rPr>
          <w:rFonts w:ascii="Arial" w:eastAsia="Times New Roman" w:hAnsi="Arial" w:cs="Arial"/>
          <w:color w:val="404040"/>
          <w:sz w:val="28"/>
          <w:szCs w:val="28"/>
          <w:lang w:eastAsia="es-AR"/>
        </w:rPr>
      </w:pPr>
    </w:p>
    <w:p w:rsidR="00C12CF5" w:rsidRPr="009137FD" w:rsidRDefault="00C12CF5">
      <w:pPr>
        <w:rPr>
          <w:rFonts w:ascii="Arial" w:hAnsi="Arial" w:cs="Arial"/>
          <w:sz w:val="28"/>
          <w:szCs w:val="28"/>
        </w:rPr>
      </w:pPr>
    </w:p>
    <w:sectPr w:rsidR="00C12CF5" w:rsidRPr="009137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371A0"/>
    <w:multiLevelType w:val="multilevel"/>
    <w:tmpl w:val="960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5B"/>
    <w:rsid w:val="00213F5B"/>
    <w:rsid w:val="009137FD"/>
    <w:rsid w:val="00C12C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13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F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F5B"/>
    <w:rPr>
      <w:rFonts w:ascii="Tahoma" w:hAnsi="Tahoma" w:cs="Tahoma"/>
      <w:sz w:val="16"/>
      <w:szCs w:val="16"/>
    </w:rPr>
  </w:style>
  <w:style w:type="character" w:customStyle="1" w:styleId="Ttulo1Car">
    <w:name w:val="Título 1 Car"/>
    <w:basedOn w:val="Fuentedeprrafopredeter"/>
    <w:link w:val="Ttulo1"/>
    <w:uiPriority w:val="9"/>
    <w:rsid w:val="00213F5B"/>
    <w:rPr>
      <w:rFonts w:ascii="Times New Roman" w:eastAsia="Times New Roman" w:hAnsi="Times New Roman" w:cs="Times New Roman"/>
      <w:b/>
      <w:bCs/>
      <w:kern w:val="36"/>
      <w:sz w:val="48"/>
      <w:szCs w:val="48"/>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13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F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F5B"/>
    <w:rPr>
      <w:rFonts w:ascii="Tahoma" w:hAnsi="Tahoma" w:cs="Tahoma"/>
      <w:sz w:val="16"/>
      <w:szCs w:val="16"/>
    </w:rPr>
  </w:style>
  <w:style w:type="character" w:customStyle="1" w:styleId="Ttulo1Car">
    <w:name w:val="Título 1 Car"/>
    <w:basedOn w:val="Fuentedeprrafopredeter"/>
    <w:link w:val="Ttulo1"/>
    <w:uiPriority w:val="9"/>
    <w:rsid w:val="00213F5B"/>
    <w:rPr>
      <w:rFonts w:ascii="Times New Roman" w:eastAsia="Times New Roman" w:hAnsi="Times New Roman" w:cs="Times New Roman"/>
      <w:b/>
      <w:bCs/>
      <w:kern w:val="36"/>
      <w:sz w:val="48"/>
      <w:szCs w:val="4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0007">
      <w:bodyDiv w:val="1"/>
      <w:marLeft w:val="0"/>
      <w:marRight w:val="0"/>
      <w:marTop w:val="0"/>
      <w:marBottom w:val="0"/>
      <w:divBdr>
        <w:top w:val="none" w:sz="0" w:space="0" w:color="auto"/>
        <w:left w:val="none" w:sz="0" w:space="0" w:color="auto"/>
        <w:bottom w:val="none" w:sz="0" w:space="0" w:color="auto"/>
        <w:right w:val="none" w:sz="0" w:space="0" w:color="auto"/>
      </w:divBdr>
      <w:divsChild>
        <w:div w:id="1510561767">
          <w:marLeft w:val="0"/>
          <w:marRight w:val="0"/>
          <w:marTop w:val="0"/>
          <w:marBottom w:val="0"/>
          <w:divBdr>
            <w:top w:val="none" w:sz="0" w:space="0" w:color="auto"/>
            <w:left w:val="none" w:sz="0" w:space="0" w:color="auto"/>
            <w:bottom w:val="none" w:sz="0" w:space="0" w:color="auto"/>
            <w:right w:val="none" w:sz="0" w:space="0" w:color="auto"/>
          </w:divBdr>
          <w:divsChild>
            <w:div w:id="1683628567">
              <w:marLeft w:val="0"/>
              <w:marRight w:val="0"/>
              <w:marTop w:val="0"/>
              <w:marBottom w:val="0"/>
              <w:divBdr>
                <w:top w:val="none" w:sz="0" w:space="0" w:color="auto"/>
                <w:left w:val="none" w:sz="0" w:space="0" w:color="auto"/>
                <w:bottom w:val="none" w:sz="0" w:space="0" w:color="auto"/>
                <w:right w:val="none" w:sz="0" w:space="0" w:color="auto"/>
              </w:divBdr>
              <w:divsChild>
                <w:div w:id="126555513">
                  <w:marLeft w:val="0"/>
                  <w:marRight w:val="0"/>
                  <w:marTop w:val="0"/>
                  <w:marBottom w:val="0"/>
                  <w:divBdr>
                    <w:top w:val="none" w:sz="0" w:space="0" w:color="auto"/>
                    <w:left w:val="none" w:sz="0" w:space="0" w:color="auto"/>
                    <w:bottom w:val="none" w:sz="0" w:space="0" w:color="auto"/>
                    <w:right w:val="none" w:sz="0" w:space="0" w:color="auto"/>
                  </w:divBdr>
                  <w:divsChild>
                    <w:div w:id="1944414885">
                      <w:marLeft w:val="0"/>
                      <w:marRight w:val="0"/>
                      <w:marTop w:val="0"/>
                      <w:marBottom w:val="0"/>
                      <w:divBdr>
                        <w:top w:val="none" w:sz="0" w:space="0" w:color="auto"/>
                        <w:left w:val="none" w:sz="0" w:space="0" w:color="auto"/>
                        <w:bottom w:val="none" w:sz="0" w:space="0" w:color="auto"/>
                        <w:right w:val="none" w:sz="0" w:space="0" w:color="auto"/>
                      </w:divBdr>
                    </w:div>
                    <w:div w:id="1451313972">
                      <w:marLeft w:val="0"/>
                      <w:marRight w:val="0"/>
                      <w:marTop w:val="0"/>
                      <w:marBottom w:val="0"/>
                      <w:divBdr>
                        <w:top w:val="none" w:sz="0" w:space="0" w:color="auto"/>
                        <w:left w:val="none" w:sz="0" w:space="0" w:color="auto"/>
                        <w:bottom w:val="none" w:sz="0" w:space="0" w:color="auto"/>
                        <w:right w:val="none" w:sz="0" w:space="0" w:color="auto"/>
                      </w:divBdr>
                      <w:divsChild>
                        <w:div w:id="603729367">
                          <w:marLeft w:val="0"/>
                          <w:marRight w:val="0"/>
                          <w:marTop w:val="0"/>
                          <w:marBottom w:val="0"/>
                          <w:divBdr>
                            <w:top w:val="none" w:sz="0" w:space="0" w:color="auto"/>
                            <w:left w:val="none" w:sz="0" w:space="0" w:color="auto"/>
                            <w:bottom w:val="none" w:sz="0" w:space="0" w:color="auto"/>
                            <w:right w:val="none" w:sz="0" w:space="0" w:color="auto"/>
                          </w:divBdr>
                        </w:div>
                        <w:div w:id="1951474296">
                          <w:marLeft w:val="0"/>
                          <w:marRight w:val="0"/>
                          <w:marTop w:val="0"/>
                          <w:marBottom w:val="0"/>
                          <w:divBdr>
                            <w:top w:val="none" w:sz="0" w:space="0" w:color="auto"/>
                            <w:left w:val="none" w:sz="0" w:space="0" w:color="auto"/>
                            <w:bottom w:val="none" w:sz="0" w:space="0" w:color="auto"/>
                            <w:right w:val="none" w:sz="0" w:space="0" w:color="auto"/>
                          </w:divBdr>
                        </w:div>
                        <w:div w:id="1063260005">
                          <w:marLeft w:val="0"/>
                          <w:marRight w:val="0"/>
                          <w:marTop w:val="0"/>
                          <w:marBottom w:val="0"/>
                          <w:divBdr>
                            <w:top w:val="none" w:sz="0" w:space="0" w:color="auto"/>
                            <w:left w:val="none" w:sz="0" w:space="0" w:color="auto"/>
                            <w:bottom w:val="none" w:sz="0" w:space="0" w:color="auto"/>
                            <w:right w:val="none" w:sz="0" w:space="0" w:color="auto"/>
                          </w:divBdr>
                        </w:div>
                        <w:div w:id="348219955">
                          <w:marLeft w:val="0"/>
                          <w:marRight w:val="0"/>
                          <w:marTop w:val="0"/>
                          <w:marBottom w:val="0"/>
                          <w:divBdr>
                            <w:top w:val="none" w:sz="0" w:space="0" w:color="auto"/>
                            <w:left w:val="none" w:sz="0" w:space="0" w:color="auto"/>
                            <w:bottom w:val="none" w:sz="0" w:space="0" w:color="auto"/>
                            <w:right w:val="none" w:sz="0" w:space="0" w:color="auto"/>
                          </w:divBdr>
                        </w:div>
                      </w:divsChild>
                    </w:div>
                    <w:div w:id="421607619">
                      <w:marLeft w:val="0"/>
                      <w:marRight w:val="0"/>
                      <w:marTop w:val="0"/>
                      <w:marBottom w:val="0"/>
                      <w:divBdr>
                        <w:top w:val="none" w:sz="0" w:space="0" w:color="auto"/>
                        <w:left w:val="none" w:sz="0" w:space="0" w:color="auto"/>
                        <w:bottom w:val="none" w:sz="0" w:space="0" w:color="auto"/>
                        <w:right w:val="none" w:sz="0" w:space="0" w:color="auto"/>
                      </w:divBdr>
                    </w:div>
                    <w:div w:id="364209221">
                      <w:marLeft w:val="0"/>
                      <w:marRight w:val="0"/>
                      <w:marTop w:val="0"/>
                      <w:marBottom w:val="0"/>
                      <w:divBdr>
                        <w:top w:val="none" w:sz="0" w:space="0" w:color="auto"/>
                        <w:left w:val="none" w:sz="0" w:space="0" w:color="auto"/>
                        <w:bottom w:val="none" w:sz="0" w:space="0" w:color="auto"/>
                        <w:right w:val="none" w:sz="0" w:space="0" w:color="auto"/>
                      </w:divBdr>
                    </w:div>
                    <w:div w:id="221605553">
                      <w:marLeft w:val="0"/>
                      <w:marRight w:val="0"/>
                      <w:marTop w:val="0"/>
                      <w:marBottom w:val="0"/>
                      <w:divBdr>
                        <w:top w:val="none" w:sz="0" w:space="0" w:color="auto"/>
                        <w:left w:val="none" w:sz="0" w:space="0" w:color="auto"/>
                        <w:bottom w:val="none" w:sz="0" w:space="0" w:color="auto"/>
                        <w:right w:val="none" w:sz="0" w:space="0" w:color="auto"/>
                      </w:divBdr>
                      <w:divsChild>
                        <w:div w:id="236790596">
                          <w:marLeft w:val="0"/>
                          <w:marRight w:val="0"/>
                          <w:marTop w:val="0"/>
                          <w:marBottom w:val="0"/>
                          <w:divBdr>
                            <w:top w:val="none" w:sz="0" w:space="0" w:color="auto"/>
                            <w:left w:val="none" w:sz="0" w:space="0" w:color="auto"/>
                            <w:bottom w:val="none" w:sz="0" w:space="0" w:color="auto"/>
                            <w:right w:val="none" w:sz="0" w:space="0" w:color="auto"/>
                          </w:divBdr>
                        </w:div>
                        <w:div w:id="214700793">
                          <w:marLeft w:val="0"/>
                          <w:marRight w:val="0"/>
                          <w:marTop w:val="0"/>
                          <w:marBottom w:val="0"/>
                          <w:divBdr>
                            <w:top w:val="none" w:sz="0" w:space="0" w:color="auto"/>
                            <w:left w:val="none" w:sz="0" w:space="0" w:color="auto"/>
                            <w:bottom w:val="none" w:sz="0" w:space="0" w:color="auto"/>
                            <w:right w:val="none" w:sz="0" w:space="0" w:color="auto"/>
                          </w:divBdr>
                        </w:div>
                        <w:div w:id="1975717766">
                          <w:marLeft w:val="0"/>
                          <w:marRight w:val="0"/>
                          <w:marTop w:val="0"/>
                          <w:marBottom w:val="0"/>
                          <w:divBdr>
                            <w:top w:val="none" w:sz="0" w:space="0" w:color="auto"/>
                            <w:left w:val="none" w:sz="0" w:space="0" w:color="auto"/>
                            <w:bottom w:val="none" w:sz="0" w:space="0" w:color="auto"/>
                            <w:right w:val="none" w:sz="0" w:space="0" w:color="auto"/>
                          </w:divBdr>
                        </w:div>
                        <w:div w:id="494077552">
                          <w:marLeft w:val="0"/>
                          <w:marRight w:val="0"/>
                          <w:marTop w:val="0"/>
                          <w:marBottom w:val="0"/>
                          <w:divBdr>
                            <w:top w:val="none" w:sz="0" w:space="0" w:color="auto"/>
                            <w:left w:val="none" w:sz="0" w:space="0" w:color="auto"/>
                            <w:bottom w:val="none" w:sz="0" w:space="0" w:color="auto"/>
                            <w:right w:val="none" w:sz="0" w:space="0" w:color="auto"/>
                          </w:divBdr>
                        </w:div>
                      </w:divsChild>
                    </w:div>
                    <w:div w:id="2062510044">
                      <w:marLeft w:val="0"/>
                      <w:marRight w:val="0"/>
                      <w:marTop w:val="0"/>
                      <w:marBottom w:val="0"/>
                      <w:divBdr>
                        <w:top w:val="none" w:sz="0" w:space="0" w:color="auto"/>
                        <w:left w:val="none" w:sz="0" w:space="0" w:color="auto"/>
                        <w:bottom w:val="none" w:sz="0" w:space="0" w:color="auto"/>
                        <w:right w:val="none" w:sz="0" w:space="0" w:color="auto"/>
                      </w:divBdr>
                    </w:div>
                    <w:div w:id="790250295">
                      <w:marLeft w:val="0"/>
                      <w:marRight w:val="0"/>
                      <w:marTop w:val="0"/>
                      <w:marBottom w:val="0"/>
                      <w:divBdr>
                        <w:top w:val="none" w:sz="0" w:space="0" w:color="auto"/>
                        <w:left w:val="none" w:sz="0" w:space="0" w:color="auto"/>
                        <w:bottom w:val="none" w:sz="0" w:space="0" w:color="auto"/>
                        <w:right w:val="none" w:sz="0" w:space="0" w:color="auto"/>
                      </w:divBdr>
                    </w:div>
                    <w:div w:id="1405301868">
                      <w:marLeft w:val="0"/>
                      <w:marRight w:val="0"/>
                      <w:marTop w:val="0"/>
                      <w:marBottom w:val="0"/>
                      <w:divBdr>
                        <w:top w:val="none" w:sz="0" w:space="0" w:color="auto"/>
                        <w:left w:val="none" w:sz="0" w:space="0" w:color="auto"/>
                        <w:bottom w:val="none" w:sz="0" w:space="0" w:color="auto"/>
                        <w:right w:val="none" w:sz="0" w:space="0" w:color="auto"/>
                      </w:divBdr>
                      <w:divsChild>
                        <w:div w:id="1547522091">
                          <w:marLeft w:val="0"/>
                          <w:marRight w:val="0"/>
                          <w:marTop w:val="0"/>
                          <w:marBottom w:val="0"/>
                          <w:divBdr>
                            <w:top w:val="none" w:sz="0" w:space="0" w:color="auto"/>
                            <w:left w:val="none" w:sz="0" w:space="0" w:color="auto"/>
                            <w:bottom w:val="none" w:sz="0" w:space="0" w:color="auto"/>
                            <w:right w:val="none" w:sz="0" w:space="0" w:color="auto"/>
                          </w:divBdr>
                        </w:div>
                        <w:div w:id="978219071">
                          <w:marLeft w:val="0"/>
                          <w:marRight w:val="0"/>
                          <w:marTop w:val="0"/>
                          <w:marBottom w:val="0"/>
                          <w:divBdr>
                            <w:top w:val="none" w:sz="0" w:space="0" w:color="auto"/>
                            <w:left w:val="none" w:sz="0" w:space="0" w:color="auto"/>
                            <w:bottom w:val="none" w:sz="0" w:space="0" w:color="auto"/>
                            <w:right w:val="none" w:sz="0" w:space="0" w:color="auto"/>
                          </w:divBdr>
                        </w:div>
                        <w:div w:id="1522546121">
                          <w:marLeft w:val="0"/>
                          <w:marRight w:val="0"/>
                          <w:marTop w:val="0"/>
                          <w:marBottom w:val="0"/>
                          <w:divBdr>
                            <w:top w:val="none" w:sz="0" w:space="0" w:color="auto"/>
                            <w:left w:val="none" w:sz="0" w:space="0" w:color="auto"/>
                            <w:bottom w:val="none" w:sz="0" w:space="0" w:color="auto"/>
                            <w:right w:val="none" w:sz="0" w:space="0" w:color="auto"/>
                          </w:divBdr>
                        </w:div>
                        <w:div w:id="14506416">
                          <w:marLeft w:val="0"/>
                          <w:marRight w:val="0"/>
                          <w:marTop w:val="0"/>
                          <w:marBottom w:val="0"/>
                          <w:divBdr>
                            <w:top w:val="none" w:sz="0" w:space="0" w:color="auto"/>
                            <w:left w:val="none" w:sz="0" w:space="0" w:color="auto"/>
                            <w:bottom w:val="none" w:sz="0" w:space="0" w:color="auto"/>
                            <w:right w:val="none" w:sz="0" w:space="0" w:color="auto"/>
                          </w:divBdr>
                        </w:div>
                      </w:divsChild>
                    </w:div>
                    <w:div w:id="919098406">
                      <w:marLeft w:val="0"/>
                      <w:marRight w:val="0"/>
                      <w:marTop w:val="0"/>
                      <w:marBottom w:val="0"/>
                      <w:divBdr>
                        <w:top w:val="none" w:sz="0" w:space="0" w:color="auto"/>
                        <w:left w:val="none" w:sz="0" w:space="0" w:color="auto"/>
                        <w:bottom w:val="none" w:sz="0" w:space="0" w:color="auto"/>
                        <w:right w:val="none" w:sz="0" w:space="0" w:color="auto"/>
                      </w:divBdr>
                    </w:div>
                    <w:div w:id="137038860">
                      <w:marLeft w:val="0"/>
                      <w:marRight w:val="0"/>
                      <w:marTop w:val="0"/>
                      <w:marBottom w:val="0"/>
                      <w:divBdr>
                        <w:top w:val="none" w:sz="0" w:space="0" w:color="auto"/>
                        <w:left w:val="none" w:sz="0" w:space="0" w:color="auto"/>
                        <w:bottom w:val="none" w:sz="0" w:space="0" w:color="auto"/>
                        <w:right w:val="none" w:sz="0" w:space="0" w:color="auto"/>
                      </w:divBdr>
                    </w:div>
                    <w:div w:id="479536533">
                      <w:marLeft w:val="0"/>
                      <w:marRight w:val="0"/>
                      <w:marTop w:val="0"/>
                      <w:marBottom w:val="0"/>
                      <w:divBdr>
                        <w:top w:val="none" w:sz="0" w:space="0" w:color="auto"/>
                        <w:left w:val="none" w:sz="0" w:space="0" w:color="auto"/>
                        <w:bottom w:val="none" w:sz="0" w:space="0" w:color="auto"/>
                        <w:right w:val="none" w:sz="0" w:space="0" w:color="auto"/>
                      </w:divBdr>
                      <w:divsChild>
                        <w:div w:id="1763800806">
                          <w:marLeft w:val="0"/>
                          <w:marRight w:val="0"/>
                          <w:marTop w:val="0"/>
                          <w:marBottom w:val="0"/>
                          <w:divBdr>
                            <w:top w:val="none" w:sz="0" w:space="0" w:color="auto"/>
                            <w:left w:val="none" w:sz="0" w:space="0" w:color="auto"/>
                            <w:bottom w:val="none" w:sz="0" w:space="0" w:color="auto"/>
                            <w:right w:val="none" w:sz="0" w:space="0" w:color="auto"/>
                          </w:divBdr>
                        </w:div>
                        <w:div w:id="888691423">
                          <w:marLeft w:val="0"/>
                          <w:marRight w:val="0"/>
                          <w:marTop w:val="0"/>
                          <w:marBottom w:val="0"/>
                          <w:divBdr>
                            <w:top w:val="none" w:sz="0" w:space="0" w:color="auto"/>
                            <w:left w:val="none" w:sz="0" w:space="0" w:color="auto"/>
                            <w:bottom w:val="none" w:sz="0" w:space="0" w:color="auto"/>
                            <w:right w:val="none" w:sz="0" w:space="0" w:color="auto"/>
                          </w:divBdr>
                        </w:div>
                        <w:div w:id="2087989838">
                          <w:marLeft w:val="0"/>
                          <w:marRight w:val="0"/>
                          <w:marTop w:val="0"/>
                          <w:marBottom w:val="0"/>
                          <w:divBdr>
                            <w:top w:val="none" w:sz="0" w:space="0" w:color="auto"/>
                            <w:left w:val="none" w:sz="0" w:space="0" w:color="auto"/>
                            <w:bottom w:val="none" w:sz="0" w:space="0" w:color="auto"/>
                            <w:right w:val="none" w:sz="0" w:space="0" w:color="auto"/>
                          </w:divBdr>
                        </w:div>
                        <w:div w:id="1687823166">
                          <w:marLeft w:val="0"/>
                          <w:marRight w:val="0"/>
                          <w:marTop w:val="0"/>
                          <w:marBottom w:val="0"/>
                          <w:divBdr>
                            <w:top w:val="none" w:sz="0" w:space="0" w:color="auto"/>
                            <w:left w:val="none" w:sz="0" w:space="0" w:color="auto"/>
                            <w:bottom w:val="none" w:sz="0" w:space="0" w:color="auto"/>
                            <w:right w:val="none" w:sz="0" w:space="0" w:color="auto"/>
                          </w:divBdr>
                        </w:div>
                      </w:divsChild>
                    </w:div>
                    <w:div w:id="1198158218">
                      <w:marLeft w:val="0"/>
                      <w:marRight w:val="0"/>
                      <w:marTop w:val="0"/>
                      <w:marBottom w:val="0"/>
                      <w:divBdr>
                        <w:top w:val="none" w:sz="0" w:space="0" w:color="auto"/>
                        <w:left w:val="none" w:sz="0" w:space="0" w:color="auto"/>
                        <w:bottom w:val="none" w:sz="0" w:space="0" w:color="auto"/>
                        <w:right w:val="none" w:sz="0" w:space="0" w:color="auto"/>
                      </w:divBdr>
                    </w:div>
                    <w:div w:id="1728868835">
                      <w:marLeft w:val="0"/>
                      <w:marRight w:val="0"/>
                      <w:marTop w:val="0"/>
                      <w:marBottom w:val="0"/>
                      <w:divBdr>
                        <w:top w:val="none" w:sz="0" w:space="0" w:color="auto"/>
                        <w:left w:val="none" w:sz="0" w:space="0" w:color="auto"/>
                        <w:bottom w:val="none" w:sz="0" w:space="0" w:color="auto"/>
                        <w:right w:val="none" w:sz="0" w:space="0" w:color="auto"/>
                      </w:divBdr>
                    </w:div>
                    <w:div w:id="723523438">
                      <w:marLeft w:val="0"/>
                      <w:marRight w:val="0"/>
                      <w:marTop w:val="0"/>
                      <w:marBottom w:val="0"/>
                      <w:divBdr>
                        <w:top w:val="none" w:sz="0" w:space="0" w:color="auto"/>
                        <w:left w:val="none" w:sz="0" w:space="0" w:color="auto"/>
                        <w:bottom w:val="none" w:sz="0" w:space="0" w:color="auto"/>
                        <w:right w:val="none" w:sz="0" w:space="0" w:color="auto"/>
                      </w:divBdr>
                      <w:divsChild>
                        <w:div w:id="1048601589">
                          <w:marLeft w:val="0"/>
                          <w:marRight w:val="0"/>
                          <w:marTop w:val="0"/>
                          <w:marBottom w:val="0"/>
                          <w:divBdr>
                            <w:top w:val="none" w:sz="0" w:space="0" w:color="auto"/>
                            <w:left w:val="none" w:sz="0" w:space="0" w:color="auto"/>
                            <w:bottom w:val="none" w:sz="0" w:space="0" w:color="auto"/>
                            <w:right w:val="none" w:sz="0" w:space="0" w:color="auto"/>
                          </w:divBdr>
                        </w:div>
                        <w:div w:id="851605884">
                          <w:marLeft w:val="0"/>
                          <w:marRight w:val="0"/>
                          <w:marTop w:val="0"/>
                          <w:marBottom w:val="0"/>
                          <w:divBdr>
                            <w:top w:val="none" w:sz="0" w:space="0" w:color="auto"/>
                            <w:left w:val="none" w:sz="0" w:space="0" w:color="auto"/>
                            <w:bottom w:val="none" w:sz="0" w:space="0" w:color="auto"/>
                            <w:right w:val="none" w:sz="0" w:space="0" w:color="auto"/>
                          </w:divBdr>
                        </w:div>
                        <w:div w:id="2047214461">
                          <w:marLeft w:val="0"/>
                          <w:marRight w:val="0"/>
                          <w:marTop w:val="0"/>
                          <w:marBottom w:val="0"/>
                          <w:divBdr>
                            <w:top w:val="none" w:sz="0" w:space="0" w:color="auto"/>
                            <w:left w:val="none" w:sz="0" w:space="0" w:color="auto"/>
                            <w:bottom w:val="none" w:sz="0" w:space="0" w:color="auto"/>
                            <w:right w:val="none" w:sz="0" w:space="0" w:color="auto"/>
                          </w:divBdr>
                        </w:div>
                        <w:div w:id="917903376">
                          <w:marLeft w:val="0"/>
                          <w:marRight w:val="0"/>
                          <w:marTop w:val="0"/>
                          <w:marBottom w:val="0"/>
                          <w:divBdr>
                            <w:top w:val="none" w:sz="0" w:space="0" w:color="auto"/>
                            <w:left w:val="none" w:sz="0" w:space="0" w:color="auto"/>
                            <w:bottom w:val="none" w:sz="0" w:space="0" w:color="auto"/>
                            <w:right w:val="none" w:sz="0" w:space="0" w:color="auto"/>
                          </w:divBdr>
                        </w:div>
                      </w:divsChild>
                    </w:div>
                    <w:div w:id="724985593">
                      <w:marLeft w:val="0"/>
                      <w:marRight w:val="0"/>
                      <w:marTop w:val="0"/>
                      <w:marBottom w:val="0"/>
                      <w:divBdr>
                        <w:top w:val="none" w:sz="0" w:space="0" w:color="auto"/>
                        <w:left w:val="none" w:sz="0" w:space="0" w:color="auto"/>
                        <w:bottom w:val="none" w:sz="0" w:space="0" w:color="auto"/>
                        <w:right w:val="none" w:sz="0" w:space="0" w:color="auto"/>
                      </w:divBdr>
                    </w:div>
                    <w:div w:id="329910825">
                      <w:marLeft w:val="0"/>
                      <w:marRight w:val="0"/>
                      <w:marTop w:val="0"/>
                      <w:marBottom w:val="0"/>
                      <w:divBdr>
                        <w:top w:val="none" w:sz="0" w:space="0" w:color="auto"/>
                        <w:left w:val="none" w:sz="0" w:space="0" w:color="auto"/>
                        <w:bottom w:val="none" w:sz="0" w:space="0" w:color="auto"/>
                        <w:right w:val="none" w:sz="0" w:space="0" w:color="auto"/>
                      </w:divBdr>
                    </w:div>
                    <w:div w:id="464545479">
                      <w:marLeft w:val="0"/>
                      <w:marRight w:val="0"/>
                      <w:marTop w:val="0"/>
                      <w:marBottom w:val="0"/>
                      <w:divBdr>
                        <w:top w:val="none" w:sz="0" w:space="0" w:color="auto"/>
                        <w:left w:val="none" w:sz="0" w:space="0" w:color="auto"/>
                        <w:bottom w:val="none" w:sz="0" w:space="0" w:color="auto"/>
                        <w:right w:val="none" w:sz="0" w:space="0" w:color="auto"/>
                      </w:divBdr>
                      <w:divsChild>
                        <w:div w:id="1248419478">
                          <w:marLeft w:val="0"/>
                          <w:marRight w:val="0"/>
                          <w:marTop w:val="0"/>
                          <w:marBottom w:val="0"/>
                          <w:divBdr>
                            <w:top w:val="none" w:sz="0" w:space="0" w:color="auto"/>
                            <w:left w:val="none" w:sz="0" w:space="0" w:color="auto"/>
                            <w:bottom w:val="none" w:sz="0" w:space="0" w:color="auto"/>
                            <w:right w:val="none" w:sz="0" w:space="0" w:color="auto"/>
                          </w:divBdr>
                        </w:div>
                        <w:div w:id="541021725">
                          <w:marLeft w:val="0"/>
                          <w:marRight w:val="0"/>
                          <w:marTop w:val="0"/>
                          <w:marBottom w:val="0"/>
                          <w:divBdr>
                            <w:top w:val="none" w:sz="0" w:space="0" w:color="auto"/>
                            <w:left w:val="none" w:sz="0" w:space="0" w:color="auto"/>
                            <w:bottom w:val="none" w:sz="0" w:space="0" w:color="auto"/>
                            <w:right w:val="none" w:sz="0" w:space="0" w:color="auto"/>
                          </w:divBdr>
                        </w:div>
                        <w:div w:id="1424379512">
                          <w:marLeft w:val="0"/>
                          <w:marRight w:val="0"/>
                          <w:marTop w:val="0"/>
                          <w:marBottom w:val="0"/>
                          <w:divBdr>
                            <w:top w:val="none" w:sz="0" w:space="0" w:color="auto"/>
                            <w:left w:val="none" w:sz="0" w:space="0" w:color="auto"/>
                            <w:bottom w:val="none" w:sz="0" w:space="0" w:color="auto"/>
                            <w:right w:val="none" w:sz="0" w:space="0" w:color="auto"/>
                          </w:divBdr>
                        </w:div>
                        <w:div w:id="2038891991">
                          <w:marLeft w:val="0"/>
                          <w:marRight w:val="0"/>
                          <w:marTop w:val="0"/>
                          <w:marBottom w:val="0"/>
                          <w:divBdr>
                            <w:top w:val="none" w:sz="0" w:space="0" w:color="auto"/>
                            <w:left w:val="none" w:sz="0" w:space="0" w:color="auto"/>
                            <w:bottom w:val="none" w:sz="0" w:space="0" w:color="auto"/>
                            <w:right w:val="none" w:sz="0" w:space="0" w:color="auto"/>
                          </w:divBdr>
                        </w:div>
                      </w:divsChild>
                    </w:div>
                    <w:div w:id="457573238">
                      <w:marLeft w:val="0"/>
                      <w:marRight w:val="0"/>
                      <w:marTop w:val="0"/>
                      <w:marBottom w:val="0"/>
                      <w:divBdr>
                        <w:top w:val="none" w:sz="0" w:space="0" w:color="auto"/>
                        <w:left w:val="none" w:sz="0" w:space="0" w:color="auto"/>
                        <w:bottom w:val="none" w:sz="0" w:space="0" w:color="auto"/>
                        <w:right w:val="none" w:sz="0" w:space="0" w:color="auto"/>
                      </w:divBdr>
                    </w:div>
                    <w:div w:id="1619414887">
                      <w:marLeft w:val="0"/>
                      <w:marRight w:val="0"/>
                      <w:marTop w:val="0"/>
                      <w:marBottom w:val="0"/>
                      <w:divBdr>
                        <w:top w:val="none" w:sz="0" w:space="0" w:color="auto"/>
                        <w:left w:val="none" w:sz="0" w:space="0" w:color="auto"/>
                        <w:bottom w:val="none" w:sz="0" w:space="0" w:color="auto"/>
                        <w:right w:val="none" w:sz="0" w:space="0" w:color="auto"/>
                      </w:divBdr>
                    </w:div>
                    <w:div w:id="415516145">
                      <w:marLeft w:val="0"/>
                      <w:marRight w:val="0"/>
                      <w:marTop w:val="0"/>
                      <w:marBottom w:val="0"/>
                      <w:divBdr>
                        <w:top w:val="none" w:sz="0" w:space="0" w:color="auto"/>
                        <w:left w:val="none" w:sz="0" w:space="0" w:color="auto"/>
                        <w:bottom w:val="none" w:sz="0" w:space="0" w:color="auto"/>
                        <w:right w:val="none" w:sz="0" w:space="0" w:color="auto"/>
                      </w:divBdr>
                      <w:divsChild>
                        <w:div w:id="452290083">
                          <w:marLeft w:val="0"/>
                          <w:marRight w:val="0"/>
                          <w:marTop w:val="0"/>
                          <w:marBottom w:val="0"/>
                          <w:divBdr>
                            <w:top w:val="none" w:sz="0" w:space="0" w:color="auto"/>
                            <w:left w:val="none" w:sz="0" w:space="0" w:color="auto"/>
                            <w:bottom w:val="none" w:sz="0" w:space="0" w:color="auto"/>
                            <w:right w:val="none" w:sz="0" w:space="0" w:color="auto"/>
                          </w:divBdr>
                        </w:div>
                        <w:div w:id="1228613196">
                          <w:marLeft w:val="0"/>
                          <w:marRight w:val="0"/>
                          <w:marTop w:val="0"/>
                          <w:marBottom w:val="0"/>
                          <w:divBdr>
                            <w:top w:val="none" w:sz="0" w:space="0" w:color="auto"/>
                            <w:left w:val="none" w:sz="0" w:space="0" w:color="auto"/>
                            <w:bottom w:val="none" w:sz="0" w:space="0" w:color="auto"/>
                            <w:right w:val="none" w:sz="0" w:space="0" w:color="auto"/>
                          </w:divBdr>
                        </w:div>
                        <w:div w:id="1212694029">
                          <w:marLeft w:val="0"/>
                          <w:marRight w:val="0"/>
                          <w:marTop w:val="0"/>
                          <w:marBottom w:val="0"/>
                          <w:divBdr>
                            <w:top w:val="none" w:sz="0" w:space="0" w:color="auto"/>
                            <w:left w:val="none" w:sz="0" w:space="0" w:color="auto"/>
                            <w:bottom w:val="none" w:sz="0" w:space="0" w:color="auto"/>
                            <w:right w:val="none" w:sz="0" w:space="0" w:color="auto"/>
                          </w:divBdr>
                        </w:div>
                        <w:div w:id="2017682900">
                          <w:marLeft w:val="0"/>
                          <w:marRight w:val="0"/>
                          <w:marTop w:val="0"/>
                          <w:marBottom w:val="0"/>
                          <w:divBdr>
                            <w:top w:val="none" w:sz="0" w:space="0" w:color="auto"/>
                            <w:left w:val="none" w:sz="0" w:space="0" w:color="auto"/>
                            <w:bottom w:val="none" w:sz="0" w:space="0" w:color="auto"/>
                            <w:right w:val="none" w:sz="0" w:space="0" w:color="auto"/>
                          </w:divBdr>
                        </w:div>
                      </w:divsChild>
                    </w:div>
                    <w:div w:id="457527662">
                      <w:marLeft w:val="0"/>
                      <w:marRight w:val="0"/>
                      <w:marTop w:val="0"/>
                      <w:marBottom w:val="0"/>
                      <w:divBdr>
                        <w:top w:val="none" w:sz="0" w:space="0" w:color="auto"/>
                        <w:left w:val="none" w:sz="0" w:space="0" w:color="auto"/>
                        <w:bottom w:val="none" w:sz="0" w:space="0" w:color="auto"/>
                        <w:right w:val="none" w:sz="0" w:space="0" w:color="auto"/>
                      </w:divBdr>
                    </w:div>
                    <w:div w:id="2089112109">
                      <w:marLeft w:val="0"/>
                      <w:marRight w:val="0"/>
                      <w:marTop w:val="0"/>
                      <w:marBottom w:val="0"/>
                      <w:divBdr>
                        <w:top w:val="none" w:sz="0" w:space="0" w:color="auto"/>
                        <w:left w:val="none" w:sz="0" w:space="0" w:color="auto"/>
                        <w:bottom w:val="none" w:sz="0" w:space="0" w:color="auto"/>
                        <w:right w:val="none" w:sz="0" w:space="0" w:color="auto"/>
                      </w:divBdr>
                    </w:div>
                    <w:div w:id="213197644">
                      <w:marLeft w:val="0"/>
                      <w:marRight w:val="0"/>
                      <w:marTop w:val="0"/>
                      <w:marBottom w:val="0"/>
                      <w:divBdr>
                        <w:top w:val="none" w:sz="0" w:space="0" w:color="auto"/>
                        <w:left w:val="none" w:sz="0" w:space="0" w:color="auto"/>
                        <w:bottom w:val="none" w:sz="0" w:space="0" w:color="auto"/>
                        <w:right w:val="none" w:sz="0" w:space="0" w:color="auto"/>
                      </w:divBdr>
                      <w:divsChild>
                        <w:div w:id="360130878">
                          <w:marLeft w:val="0"/>
                          <w:marRight w:val="0"/>
                          <w:marTop w:val="0"/>
                          <w:marBottom w:val="0"/>
                          <w:divBdr>
                            <w:top w:val="none" w:sz="0" w:space="0" w:color="auto"/>
                            <w:left w:val="none" w:sz="0" w:space="0" w:color="auto"/>
                            <w:bottom w:val="none" w:sz="0" w:space="0" w:color="auto"/>
                            <w:right w:val="none" w:sz="0" w:space="0" w:color="auto"/>
                          </w:divBdr>
                        </w:div>
                        <w:div w:id="2073456884">
                          <w:marLeft w:val="0"/>
                          <w:marRight w:val="0"/>
                          <w:marTop w:val="0"/>
                          <w:marBottom w:val="0"/>
                          <w:divBdr>
                            <w:top w:val="none" w:sz="0" w:space="0" w:color="auto"/>
                            <w:left w:val="none" w:sz="0" w:space="0" w:color="auto"/>
                            <w:bottom w:val="none" w:sz="0" w:space="0" w:color="auto"/>
                            <w:right w:val="none" w:sz="0" w:space="0" w:color="auto"/>
                          </w:divBdr>
                        </w:div>
                        <w:div w:id="1196694244">
                          <w:marLeft w:val="0"/>
                          <w:marRight w:val="0"/>
                          <w:marTop w:val="0"/>
                          <w:marBottom w:val="0"/>
                          <w:divBdr>
                            <w:top w:val="none" w:sz="0" w:space="0" w:color="auto"/>
                            <w:left w:val="none" w:sz="0" w:space="0" w:color="auto"/>
                            <w:bottom w:val="none" w:sz="0" w:space="0" w:color="auto"/>
                            <w:right w:val="none" w:sz="0" w:space="0" w:color="auto"/>
                          </w:divBdr>
                        </w:div>
                        <w:div w:id="1129323519">
                          <w:marLeft w:val="0"/>
                          <w:marRight w:val="0"/>
                          <w:marTop w:val="0"/>
                          <w:marBottom w:val="0"/>
                          <w:divBdr>
                            <w:top w:val="none" w:sz="0" w:space="0" w:color="auto"/>
                            <w:left w:val="none" w:sz="0" w:space="0" w:color="auto"/>
                            <w:bottom w:val="none" w:sz="0" w:space="0" w:color="auto"/>
                            <w:right w:val="none" w:sz="0" w:space="0" w:color="auto"/>
                          </w:divBdr>
                        </w:div>
                      </w:divsChild>
                    </w:div>
                    <w:div w:id="10816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5506">
          <w:marLeft w:val="0"/>
          <w:marRight w:val="0"/>
          <w:marTop w:val="0"/>
          <w:marBottom w:val="0"/>
          <w:divBdr>
            <w:top w:val="none" w:sz="0" w:space="0" w:color="auto"/>
            <w:left w:val="none" w:sz="0" w:space="0" w:color="auto"/>
            <w:bottom w:val="none" w:sz="0" w:space="0" w:color="auto"/>
            <w:right w:val="none" w:sz="0" w:space="0" w:color="auto"/>
          </w:divBdr>
        </w:div>
        <w:div w:id="1434321987">
          <w:marLeft w:val="0"/>
          <w:marRight w:val="0"/>
          <w:marTop w:val="0"/>
          <w:marBottom w:val="0"/>
          <w:divBdr>
            <w:top w:val="none" w:sz="0" w:space="0" w:color="auto"/>
            <w:left w:val="none" w:sz="0" w:space="0" w:color="auto"/>
            <w:bottom w:val="none" w:sz="0" w:space="0" w:color="auto"/>
            <w:right w:val="none" w:sz="0" w:space="0" w:color="auto"/>
          </w:divBdr>
        </w:div>
        <w:div w:id="1960641088">
          <w:marLeft w:val="0"/>
          <w:marRight w:val="0"/>
          <w:marTop w:val="0"/>
          <w:marBottom w:val="0"/>
          <w:divBdr>
            <w:top w:val="none" w:sz="0" w:space="0" w:color="auto"/>
            <w:left w:val="none" w:sz="0" w:space="0" w:color="auto"/>
            <w:bottom w:val="none" w:sz="0" w:space="0" w:color="auto"/>
            <w:right w:val="none" w:sz="0" w:space="0" w:color="auto"/>
          </w:divBdr>
        </w:div>
      </w:divsChild>
    </w:div>
    <w:div w:id="422144167">
      <w:bodyDiv w:val="1"/>
      <w:marLeft w:val="0"/>
      <w:marRight w:val="0"/>
      <w:marTop w:val="0"/>
      <w:marBottom w:val="0"/>
      <w:divBdr>
        <w:top w:val="none" w:sz="0" w:space="0" w:color="auto"/>
        <w:left w:val="none" w:sz="0" w:space="0" w:color="auto"/>
        <w:bottom w:val="none" w:sz="0" w:space="0" w:color="auto"/>
        <w:right w:val="none" w:sz="0" w:space="0" w:color="auto"/>
      </w:divBdr>
    </w:div>
    <w:div w:id="442725368">
      <w:bodyDiv w:val="1"/>
      <w:marLeft w:val="0"/>
      <w:marRight w:val="0"/>
      <w:marTop w:val="0"/>
      <w:marBottom w:val="0"/>
      <w:divBdr>
        <w:top w:val="none" w:sz="0" w:space="0" w:color="auto"/>
        <w:left w:val="none" w:sz="0" w:space="0" w:color="auto"/>
        <w:bottom w:val="none" w:sz="0" w:space="0" w:color="auto"/>
        <w:right w:val="none" w:sz="0" w:space="0" w:color="auto"/>
      </w:divBdr>
    </w:div>
    <w:div w:id="558178078">
      <w:bodyDiv w:val="1"/>
      <w:marLeft w:val="0"/>
      <w:marRight w:val="0"/>
      <w:marTop w:val="0"/>
      <w:marBottom w:val="0"/>
      <w:divBdr>
        <w:top w:val="none" w:sz="0" w:space="0" w:color="auto"/>
        <w:left w:val="none" w:sz="0" w:space="0" w:color="auto"/>
        <w:bottom w:val="none" w:sz="0" w:space="0" w:color="auto"/>
        <w:right w:val="none" w:sz="0" w:space="0" w:color="auto"/>
      </w:divBdr>
    </w:div>
    <w:div w:id="1359620434">
      <w:bodyDiv w:val="1"/>
      <w:marLeft w:val="0"/>
      <w:marRight w:val="0"/>
      <w:marTop w:val="0"/>
      <w:marBottom w:val="0"/>
      <w:divBdr>
        <w:top w:val="none" w:sz="0" w:space="0" w:color="auto"/>
        <w:left w:val="none" w:sz="0" w:space="0" w:color="auto"/>
        <w:bottom w:val="none" w:sz="0" w:space="0" w:color="auto"/>
        <w:right w:val="none" w:sz="0" w:space="0" w:color="auto"/>
      </w:divBdr>
    </w:div>
    <w:div w:id="2124612648">
      <w:bodyDiv w:val="1"/>
      <w:marLeft w:val="0"/>
      <w:marRight w:val="0"/>
      <w:marTop w:val="0"/>
      <w:marBottom w:val="0"/>
      <w:divBdr>
        <w:top w:val="none" w:sz="0" w:space="0" w:color="auto"/>
        <w:left w:val="none" w:sz="0" w:space="0" w:color="auto"/>
        <w:bottom w:val="none" w:sz="0" w:space="0" w:color="auto"/>
        <w:right w:val="none" w:sz="0" w:space="0" w:color="auto"/>
      </w:divBdr>
      <w:divsChild>
        <w:div w:id="160360738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finicion.de/cosen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onceptodefinicion.de/termi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rofesorenlinea.cl/geometria/Plano_Cartesiano.html" TargetMode="External"/><Relationship Id="rId5" Type="http://schemas.openxmlformats.org/officeDocument/2006/relationships/webSettings" Target="webSettings.xml"/><Relationship Id="rId10" Type="http://schemas.openxmlformats.org/officeDocument/2006/relationships/hyperlink" Target="https://conceptodefinicion.de/natural/" TargetMode="External"/><Relationship Id="rId4" Type="http://schemas.openxmlformats.org/officeDocument/2006/relationships/settings" Target="settings.xml"/><Relationship Id="rId9" Type="http://schemas.openxmlformats.org/officeDocument/2006/relationships/hyperlink" Target="https://www.geoenciclopedia.com/que-es-la-cartograf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714</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2020-12-23T12:56:00Z</dcterms:created>
  <dcterms:modified xsi:type="dcterms:W3CDTF">2020-12-23T13:07:00Z</dcterms:modified>
</cp:coreProperties>
</file>