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44B0" w14:textId="77777777" w:rsidR="00E977E2" w:rsidRPr="00E977E2" w:rsidRDefault="00E977E2" w:rsidP="00E977E2">
      <w:pPr>
        <w:shd w:val="clear" w:color="auto" w:fill="FFFFFF"/>
        <w:spacing w:before="120" w:after="168"/>
        <w:jc w:val="center"/>
        <w:outlineLvl w:val="0"/>
        <w:rPr>
          <w:rFonts w:ascii="Times New Roman" w:eastAsia="Times New Roman" w:hAnsi="Times New Roman" w:cs="Times New Roman"/>
          <w:b/>
          <w:bCs/>
          <w:color w:val="141414"/>
          <w:spacing w:val="-4"/>
          <w:kern w:val="36"/>
          <w:sz w:val="48"/>
          <w:szCs w:val="48"/>
          <w:u w:val="single"/>
        </w:rPr>
      </w:pPr>
      <w:r w:rsidRPr="00E977E2">
        <w:rPr>
          <w:rFonts w:ascii="Times New Roman" w:eastAsia="Times New Roman" w:hAnsi="Times New Roman" w:cs="Times New Roman"/>
          <w:b/>
          <w:bCs/>
          <w:color w:val="141414"/>
          <w:spacing w:val="-4"/>
          <w:kern w:val="36"/>
          <w:sz w:val="48"/>
          <w:szCs w:val="48"/>
          <w:u w:val="single"/>
        </w:rPr>
        <w:t>Botiquín de primeros auxilios</w:t>
      </w:r>
    </w:p>
    <w:p w14:paraId="57C9D5A6" w14:textId="77777777" w:rsidR="00E977E2" w:rsidRPr="00E977E2" w:rsidRDefault="00E977E2" w:rsidP="00E977E2">
      <w:pPr>
        <w:shd w:val="clear" w:color="auto" w:fill="FFFFFF"/>
        <w:spacing w:after="360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Listado de todos los elementos que deben incluirse en el botiquín de primeros auxilios.</w:t>
      </w:r>
    </w:p>
    <w:p w14:paraId="16E76A80" w14:textId="77777777" w:rsidR="00E977E2" w:rsidRPr="00E977E2" w:rsidRDefault="00E977E2" w:rsidP="00E977E2">
      <w:pPr>
        <w:shd w:val="clear" w:color="auto" w:fill="FFFFFF"/>
        <w:spacing w:after="360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El botiquín debe guardarse en un </w:t>
      </w:r>
      <w:r w:rsidRPr="00E977E2">
        <w:rPr>
          <w:rFonts w:ascii="Arial" w:eastAsia="Times New Roman" w:hAnsi="Arial" w:cs="Arial"/>
          <w:b/>
          <w:bCs/>
          <w:color w:val="141414"/>
          <w:spacing w:val="-3"/>
          <w:sz w:val="27"/>
          <w:szCs w:val="27"/>
        </w:rPr>
        <w:t>lugar fresco, seco, limpio, de fácil acceso</w:t>
      </w: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 y debe ubicarse </w:t>
      </w:r>
      <w:r w:rsidRPr="00E977E2">
        <w:rPr>
          <w:rFonts w:ascii="Arial" w:eastAsia="Times New Roman" w:hAnsi="Arial" w:cs="Arial"/>
          <w:b/>
          <w:bCs/>
          <w:color w:val="141414"/>
          <w:spacing w:val="-3"/>
          <w:sz w:val="27"/>
          <w:szCs w:val="27"/>
        </w:rPr>
        <w:t>lejos del alcance de los niños</w:t>
      </w: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. Los elementos tienen que mantenerse en buen estado, deben </w:t>
      </w:r>
      <w:r w:rsidRPr="00E977E2">
        <w:rPr>
          <w:rFonts w:ascii="Arial" w:eastAsia="Times New Roman" w:hAnsi="Arial" w:cs="Arial"/>
          <w:b/>
          <w:bCs/>
          <w:color w:val="141414"/>
          <w:spacing w:val="-3"/>
          <w:sz w:val="27"/>
          <w:szCs w:val="27"/>
        </w:rPr>
        <w:t>controlarse sus fechas de vencimiento</w:t>
      </w: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 y reponerse periódicamente.</w:t>
      </w:r>
    </w:p>
    <w:p w14:paraId="46ED731C" w14:textId="77777777" w:rsidR="00E977E2" w:rsidRPr="00E977E2" w:rsidRDefault="00E977E2" w:rsidP="00E977E2">
      <w:pPr>
        <w:shd w:val="clear" w:color="auto" w:fill="FFFFFF"/>
        <w:spacing w:before="480" w:after="168"/>
        <w:outlineLvl w:val="1"/>
        <w:rPr>
          <w:rFonts w:ascii="Times New Roman" w:eastAsia="Times New Roman" w:hAnsi="Times New Roman" w:cs="Times New Roman"/>
          <w:b/>
          <w:bCs/>
          <w:color w:val="141414"/>
          <w:spacing w:val="-4"/>
          <w:sz w:val="36"/>
          <w:szCs w:val="36"/>
        </w:rPr>
      </w:pPr>
      <w:r w:rsidRPr="00E977E2">
        <w:rPr>
          <w:rFonts w:ascii="Times New Roman" w:eastAsia="Times New Roman" w:hAnsi="Times New Roman" w:cs="Times New Roman"/>
          <w:b/>
          <w:bCs/>
          <w:color w:val="141414"/>
          <w:spacing w:val="-4"/>
          <w:sz w:val="36"/>
          <w:szCs w:val="36"/>
        </w:rPr>
        <w:t>Elementos básicos:</w:t>
      </w:r>
    </w:p>
    <w:p w14:paraId="1E65E55F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Guantes descartables de látex para no contaminar heridas y para seguridad de la persona que asiste a la víctima.</w:t>
      </w:r>
    </w:p>
    <w:p w14:paraId="461D2C14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Gasas y vendas limpias (de 7 y 10 cm. de ancho) para limpiar heridas y detener hemorragias.</w:t>
      </w:r>
    </w:p>
    <w:p w14:paraId="6830C871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Apósitos estériles para limpiar y cubrir heridas abiertas.</w:t>
      </w:r>
    </w:p>
    <w:p w14:paraId="32867456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Cinta adhesiva para fijar gasas o vendajes.</w:t>
      </w:r>
    </w:p>
    <w:p w14:paraId="6B29E68C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Tijera para cortar gasas y vendas o la ropa de la víctima.</w:t>
      </w:r>
    </w:p>
    <w:p w14:paraId="417E8ADC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Antisépticos, yodo povidona, agua oxigenada (de 10 volúmenes) o alcohol para prevenir infecciones.</w:t>
      </w:r>
    </w:p>
    <w:p w14:paraId="2EA1F975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Jabón neutro (blanco) para higienizar heridas.</w:t>
      </w:r>
    </w:p>
    <w:p w14:paraId="16EBC7B0" w14:textId="77777777" w:rsidR="00E977E2" w:rsidRPr="00E977E2" w:rsidRDefault="00E977E2" w:rsidP="00E977E2">
      <w:pPr>
        <w:numPr>
          <w:ilvl w:val="0"/>
          <w:numId w:val="2"/>
        </w:numPr>
        <w:shd w:val="clear" w:color="auto" w:fill="FFFFFF"/>
        <w:spacing w:after="225"/>
        <w:rPr>
          <w:rFonts w:ascii="Arial" w:eastAsia="Times New Roman" w:hAnsi="Arial" w:cs="Arial"/>
          <w:color w:val="14141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141414"/>
          <w:spacing w:val="-3"/>
          <w:sz w:val="27"/>
          <w:szCs w:val="27"/>
        </w:rPr>
        <w:t>Alcohol en gel y líquido para higienizar las manos.</w:t>
      </w:r>
    </w:p>
    <w:p w14:paraId="6E5857AB" w14:textId="77777777" w:rsidR="00E977E2" w:rsidRPr="00E977E2" w:rsidRDefault="00E977E2" w:rsidP="00E97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F5F5"/>
        <w:spacing w:after="360"/>
        <w:textAlignment w:val="top"/>
        <w:rPr>
          <w:rFonts w:ascii="Arial" w:eastAsia="Times New Roman" w:hAnsi="Arial" w:cs="Arial"/>
          <w:color w:val="444444"/>
          <w:spacing w:val="-3"/>
          <w:sz w:val="27"/>
          <w:szCs w:val="27"/>
        </w:rPr>
      </w:pPr>
      <w:r w:rsidRPr="00E977E2">
        <w:rPr>
          <w:rFonts w:ascii="Arial" w:eastAsia="Times New Roman" w:hAnsi="Arial" w:cs="Arial"/>
          <w:color w:val="444444"/>
          <w:spacing w:val="-3"/>
          <w:sz w:val="27"/>
          <w:szCs w:val="27"/>
        </w:rPr>
        <w:t>El botiquín no tiene que incluir medicamentos, para no favorecer la automedicación.</w:t>
      </w:r>
    </w:p>
    <w:p w14:paraId="488DBF37" w14:textId="77777777" w:rsidR="00B917A3" w:rsidRDefault="00B917A3">
      <w:pPr>
        <w:tabs>
          <w:tab w:val="right" w:pos="0"/>
        </w:tabs>
        <w:ind w:right="-142"/>
        <w:jc w:val="right"/>
      </w:pPr>
    </w:p>
    <w:sectPr w:rsidR="00B917A3">
      <w:headerReference w:type="default" r:id="rId7"/>
      <w:footerReference w:type="default" r:id="rId8"/>
      <w:pgSz w:w="12240" w:h="20160"/>
      <w:pgMar w:top="2409" w:right="907" w:bottom="1417" w:left="1275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D842" w14:textId="77777777" w:rsidR="00522E00" w:rsidRDefault="00522E00">
      <w:r>
        <w:separator/>
      </w:r>
    </w:p>
  </w:endnote>
  <w:endnote w:type="continuationSeparator" w:id="0">
    <w:p w14:paraId="760084DB" w14:textId="77777777" w:rsidR="00522E00" w:rsidRDefault="0052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EF6A" w14:textId="77777777" w:rsidR="00B917A3" w:rsidRDefault="00B917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8DC604C" w14:textId="77777777" w:rsidR="00B917A3" w:rsidRDefault="00B917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DE37" w14:textId="77777777" w:rsidR="00522E00" w:rsidRDefault="00522E00">
      <w:r>
        <w:separator/>
      </w:r>
    </w:p>
  </w:footnote>
  <w:footnote w:type="continuationSeparator" w:id="0">
    <w:p w14:paraId="13C18F87" w14:textId="77777777" w:rsidR="00522E00" w:rsidRDefault="0052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29A1" w14:textId="77777777" w:rsidR="00B917A3" w:rsidRDefault="00522E00">
    <w:pPr>
      <w:spacing w:line="276" w:lineRule="auto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D9FD101" wp14:editId="4721D1A1">
          <wp:simplePos x="0" y="0"/>
          <wp:positionH relativeFrom="column">
            <wp:posOffset>1045762</wp:posOffset>
          </wp:positionH>
          <wp:positionV relativeFrom="paragraph">
            <wp:posOffset>104776</wp:posOffset>
          </wp:positionV>
          <wp:extent cx="4110038" cy="50242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0038" cy="502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58CE18" w14:textId="77777777" w:rsidR="00B917A3" w:rsidRDefault="00B917A3">
    <w:pPr>
      <w:spacing w:line="276" w:lineRule="auto"/>
      <w:rPr>
        <w:rFonts w:ascii="Arial" w:eastAsia="Arial" w:hAnsi="Arial" w:cs="Arial"/>
        <w:sz w:val="22"/>
        <w:szCs w:val="22"/>
      </w:rPr>
    </w:pPr>
  </w:p>
  <w:p w14:paraId="4BE748EF" w14:textId="77777777" w:rsidR="00B917A3" w:rsidRDefault="00522E00">
    <w:pPr>
      <w:spacing w:line="276" w:lineRule="auto"/>
      <w:jc w:val="center"/>
      <w:rPr>
        <w:i/>
        <w:sz w:val="16"/>
        <w:szCs w:val="16"/>
      </w:rPr>
    </w:pPr>
    <w:r>
      <w:rPr>
        <w:i/>
        <w:sz w:val="22"/>
        <w:szCs w:val="22"/>
      </w:rPr>
      <w:br/>
    </w:r>
  </w:p>
  <w:p w14:paraId="02E5C6FA" w14:textId="77777777" w:rsidR="00B917A3" w:rsidRDefault="00522E00">
    <w:pPr>
      <w:spacing w:line="276" w:lineRule="auto"/>
      <w:jc w:val="center"/>
    </w:pPr>
    <w:r>
      <w:rPr>
        <w:i/>
        <w:sz w:val="20"/>
        <w:szCs w:val="20"/>
      </w:rPr>
      <w:t>2024 - “Año del 30° Aniversario de la Reforma de la Constitución Nacional y Provincial”</w:t>
    </w:r>
    <w:r>
      <w:rPr>
        <w:i/>
        <w:sz w:val="20"/>
        <w:szCs w:val="20"/>
      </w:rPr>
      <w:br/>
    </w:r>
    <w:r>
      <w:pict w14:anchorId="7773E52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93E"/>
    <w:multiLevelType w:val="multilevel"/>
    <w:tmpl w:val="6D1E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0616F"/>
    <w:multiLevelType w:val="multilevel"/>
    <w:tmpl w:val="5FE8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A3"/>
    <w:rsid w:val="00522E00"/>
    <w:rsid w:val="00B917A3"/>
    <w:rsid w:val="00E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03312"/>
  <w15:docId w15:val="{26E45C27-7EBA-47B9-B89F-1FB2D97C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0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70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11" w:color="C62828"/>
                                <w:left w:val="single" w:sz="12" w:space="11" w:color="C62828"/>
                                <w:bottom w:val="single" w:sz="12" w:space="11" w:color="C62828"/>
                                <w:right w:val="single" w:sz="12" w:space="11" w:color="C62828"/>
                              </w:divBdr>
                              <w:divsChild>
                                <w:div w:id="20789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Edgardo Gallardo</cp:lastModifiedBy>
  <cp:revision>2</cp:revision>
  <dcterms:created xsi:type="dcterms:W3CDTF">2024-11-01T00:01:00Z</dcterms:created>
  <dcterms:modified xsi:type="dcterms:W3CDTF">2024-11-01T00:01:00Z</dcterms:modified>
</cp:coreProperties>
</file>