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rFonts w:ascii="Brush738 BT" w:hAnsi="Brush738 BT"/>
          <w:color w:val="FF0066"/>
          <w:sz w:val="36"/>
        </w:rPr>
      </w:pPr>
      <w:r>
        <w:rPr>
          <w:rFonts w:ascii="Brush738 BT" w:hAnsi="Brush738 BT"/>
          <w:color w:val="FF0066"/>
          <w:sz w:val="36"/>
        </w:rPr>
        <w:t>Curso de Capacitación Continua en Mutualismo Escolar: “El Mutualismo Escolar, una nueva herramienta pedagógica”</w:t>
      </w:r>
    </w:p>
    <w:p w14:paraId="03000000">
      <w:pPr>
        <w:pStyle w:val="Style_2"/>
        <w:numPr>
          <w:ilvl w:val="0"/>
          <w:numId w:val="1"/>
        </w:numPr>
        <w:ind/>
        <w:jc w:val="both"/>
        <w:rPr>
          <w:rFonts w:ascii="Aldine721 BT" w:hAnsi="Aldine721 BT"/>
          <w:b w:val="1"/>
          <w:i w:val="1"/>
          <w:color w:val="FF0000"/>
          <w:sz w:val="24"/>
        </w:rPr>
      </w:pPr>
      <w:r>
        <w:rPr>
          <w:rFonts w:ascii="Aldine721 BT" w:hAnsi="Aldine721 BT"/>
          <w:b w:val="1"/>
          <w:i w:val="1"/>
          <w:color w:val="FF0000"/>
          <w:sz w:val="24"/>
        </w:rPr>
        <w:t xml:space="preserve">Lectura del documento de Apoyo para docentes: “Cooperativismo y Mutualismo escolar” </w:t>
      </w:r>
    </w:p>
    <w:p w14:paraId="04000000">
      <w:pPr>
        <w:pStyle w:val="Style_2"/>
        <w:numPr>
          <w:ilvl w:val="0"/>
          <w:numId w:val="1"/>
        </w:numPr>
        <w:ind/>
        <w:jc w:val="both"/>
        <w:rPr>
          <w:rFonts w:ascii="Aldine721 BT" w:hAnsi="Aldine721 BT"/>
          <w:b w:val="1"/>
          <w:i w:val="1"/>
          <w:color w:val="FF0000"/>
          <w:sz w:val="24"/>
        </w:rPr>
      </w:pPr>
      <w:r>
        <w:rPr>
          <w:rFonts w:ascii="Aldine721 BT" w:hAnsi="Aldine721 BT"/>
          <w:b w:val="1"/>
          <w:i w:val="1"/>
          <w:color w:val="FF0000"/>
          <w:sz w:val="24"/>
        </w:rPr>
        <w:t>Responder:</w:t>
      </w:r>
    </w:p>
    <w:p w14:paraId="05000000">
      <w:pPr>
        <w:pStyle w:val="Style_2"/>
        <w:ind/>
        <w:jc w:val="both"/>
        <w:rPr>
          <w:rFonts w:ascii="Aldine721 BT" w:hAnsi="Aldine721 BT"/>
          <w:b w:val="1"/>
          <w:i w:val="1"/>
          <w:color w:val="FF0000"/>
          <w:sz w:val="24"/>
        </w:rPr>
      </w:pPr>
      <w:r>
        <w:rPr>
          <w:rFonts w:ascii="Aldine721 BT" w:hAnsi="Aldine721 BT"/>
          <w:b w:val="1"/>
          <w:i w:val="1"/>
          <w:color w:val="FF0000"/>
          <w:sz w:val="24"/>
        </w:rPr>
        <w:t>¿Cuál es el objetivo de cada una de las etapas para organizar una Mutual Escolar?</w:t>
      </w:r>
    </w:p>
    <w:p w14:paraId="06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Para organizar una Mutual Escolar, es crucial seguir una serie de etapas para garantizar que la organización funcione de manera eficiente y cumpla con sus objetivos. </w:t>
      </w: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ada una </w:t>
      </w:r>
      <w:r>
        <w:rPr>
          <w:rFonts w:ascii="Times New Roman" w:hAnsi="Times New Roman"/>
          <w:sz w:val="24"/>
        </w:rPr>
        <w:t>de las cuatro etapas tiene un objetivo a alcanzar</w:t>
      </w:r>
      <w:r>
        <w:rPr>
          <w:rFonts w:ascii="Times New Roman" w:hAnsi="Times New Roman"/>
          <w:sz w:val="24"/>
        </w:rPr>
        <w:t>:</w:t>
      </w:r>
    </w:p>
    <w:p w14:paraId="07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Etapa Inicial:</w:t>
      </w:r>
    </w:p>
    <w:p w14:paraId="08000000">
      <w:pPr>
        <w:numPr>
          <w:ilvl w:val="1"/>
          <w:numId w:val="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Objetivo:</w:t>
      </w:r>
      <w:r>
        <w:rPr>
          <w:rFonts w:ascii="Times New Roman" w:hAnsi="Times New Roman"/>
          <w:sz w:val="24"/>
        </w:rPr>
        <w:t xml:space="preserve"> El objetivo principal de esta etapa es sentar las bases para la creación de la mutual escolar. Esto incluye la sensibilización y la educación de los estudiantes, padres y docentes sobre los beneficios y principios de una mutual. También se realiza una evaluación preliminar para determinar la viabilidad del proyecto y se comienzan a formar los grupos de trabajo iniciales que impulsarán la iniciativa.</w:t>
      </w:r>
    </w:p>
    <w:p w14:paraId="09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Evaluación:</w:t>
      </w:r>
    </w:p>
    <w:p w14:paraId="0A000000">
      <w:pPr>
        <w:numPr>
          <w:ilvl w:val="1"/>
          <w:numId w:val="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Objetivo:</w:t>
      </w:r>
      <w:r>
        <w:rPr>
          <w:rFonts w:ascii="Times New Roman" w:hAnsi="Times New Roman"/>
          <w:sz w:val="24"/>
        </w:rPr>
        <w:t xml:space="preserve"> En esta fase, se realiza una evaluación detallada para analizar la viabilidad y necesidad de la mutual escolar en la comunidad. Esto implica estudiar las necesidades específicas de los estudiantes y sus familias, analizar los recursos disponibles, y revisar el marco legal y regulatorio pertinente. Se recopilan datos y se realizan encuestas para entender mejor las expectativas y necesidades, lo que ayudará a definir los objetivos y el alcance de la mutual.</w:t>
      </w:r>
    </w:p>
    <w:p w14:paraId="0B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Etapa de Planeamiento y de Organización Provisoria:</w:t>
      </w:r>
    </w:p>
    <w:p w14:paraId="0C000000">
      <w:pPr>
        <w:numPr>
          <w:ilvl w:val="1"/>
          <w:numId w:val="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Objetivo:</w:t>
      </w:r>
      <w:r>
        <w:rPr>
          <w:rFonts w:ascii="Times New Roman" w:hAnsi="Times New Roman"/>
          <w:sz w:val="24"/>
        </w:rPr>
        <w:t xml:space="preserve"> Esta etapa se enfoca en el desarrollo de un plan detallado para la mutual escolar, incluyendo la estructura organizativa, los objetivos específicos, y las políticas y procedimientos que guiarán su funcionamiento. Se establecen comités provisionales o grupos de trabajo responsables de la elaboración del estatuto y la planificación de las actividades. Además, se diseñan los mecanismos de operación y se crean los primeros documentos administrativos.</w:t>
      </w:r>
    </w:p>
    <w:p w14:paraId="0D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Etapa de Constitución Definitiva de la Cooperativa o Mutual Escolar:</w:t>
      </w:r>
    </w:p>
    <w:p w14:paraId="0E000000">
      <w:pPr>
        <w:numPr>
          <w:ilvl w:val="1"/>
          <w:numId w:val="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Objetivo:</w:t>
      </w:r>
      <w:r>
        <w:rPr>
          <w:rFonts w:ascii="Times New Roman" w:hAnsi="Times New Roman"/>
          <w:sz w:val="24"/>
        </w:rPr>
        <w:t xml:space="preserve"> En esta fase final, se formaliza la constitución legal de la mutual escolar. Esto incluye la redacción y aprobación del estatuto definitivo, la inscripción formal en el registro correspondiente y la obtención de la personería jurídica necesaria para operar. También se realiza la elección de los órganos de gobierno, como el consejo directivo o la junta directiva, y se establecen los primeros procedimientos operativos. Esta etapa marca el inicio oficial de las operaciones de la mutual escolar.</w:t>
      </w:r>
    </w:p>
    <w:p w14:paraId="0F000000">
      <w:pPr>
        <w:ind/>
        <w:jc w:val="both"/>
        <w:rPr>
          <w:rFonts w:ascii="Aldine721 BT" w:hAnsi="Aldine721 BT"/>
          <w:b w:val="1"/>
          <w:i w:val="1"/>
          <w:sz w:val="24"/>
        </w:rPr>
      </w:pPr>
    </w:p>
    <w:p w14:paraId="10000000">
      <w:pPr>
        <w:pStyle w:val="Style_2"/>
        <w:ind/>
        <w:jc w:val="both"/>
        <w:rPr>
          <w:rFonts w:ascii="Aldine721 BT" w:hAnsi="Aldine721 BT"/>
          <w:b w:val="1"/>
          <w:i w:val="1"/>
          <w:color w:val="FF0000"/>
          <w:sz w:val="24"/>
        </w:rPr>
      </w:pPr>
      <w:r>
        <w:rPr>
          <w:rFonts w:ascii="Aldine721 BT" w:hAnsi="Aldine721 BT"/>
          <w:b w:val="1"/>
          <w:i w:val="1"/>
          <w:color w:val="FF0000"/>
          <w:sz w:val="24"/>
        </w:rPr>
        <w:t>¿Qué importancia tiene la organización del Proceso Electoral para la Formación cívica y moral de los educandos?</w:t>
      </w:r>
    </w:p>
    <w:p w14:paraId="11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 organización del proceso electoral tiene una importancia significativa en la formación cívica y moral de los educandos por varias razones:</w:t>
      </w:r>
    </w:p>
    <w:p w14:paraId="12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Fomento de la Participación Democrática:</w:t>
      </w:r>
    </w:p>
    <w:p w14:paraId="13000000">
      <w:pPr>
        <w:numPr>
          <w:ilvl w:val="1"/>
          <w:numId w:val="3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Educación Cívica:</w:t>
      </w:r>
      <w:r>
        <w:rPr>
          <w:rFonts w:ascii="Times New Roman" w:hAnsi="Times New Roman"/>
          <w:sz w:val="24"/>
        </w:rPr>
        <w:t xml:space="preserve"> Al participar en procesos electorales, los estudiantes aprenden sobre la importancia de la participación en la democracia, cómo se toman decisiones colectivas y el valor de cada voto. Este conocimiento fomenta una comprensión más profunda de cómo funcionan las instituciones democráticas.</w:t>
      </w:r>
    </w:p>
    <w:p w14:paraId="14000000">
      <w:pPr>
        <w:numPr>
          <w:ilvl w:val="1"/>
          <w:numId w:val="3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Responsabilidad Ciudadana:</w:t>
      </w:r>
      <w:r>
        <w:rPr>
          <w:rFonts w:ascii="Times New Roman" w:hAnsi="Times New Roman"/>
          <w:sz w:val="24"/>
        </w:rPr>
        <w:t xml:space="preserve"> A través de la participación en elecciones escolares o en simulaciones de procesos electorales, los estudiantes desarrollan un sentido de responsabilidad y pertenencia a la comunidad, reconociendo el impacto de su involucramiento en la toma de decisiones.</w:t>
      </w:r>
    </w:p>
    <w:p w14:paraId="15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Desarrollo de Habilidades Críticas:</w:t>
      </w:r>
    </w:p>
    <w:p w14:paraId="16000000">
      <w:pPr>
        <w:numPr>
          <w:ilvl w:val="1"/>
          <w:numId w:val="4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Pensamiento Crítico:</w:t>
      </w:r>
      <w:r>
        <w:rPr>
          <w:rFonts w:ascii="Times New Roman" w:hAnsi="Times New Roman"/>
          <w:sz w:val="24"/>
        </w:rPr>
        <w:t xml:space="preserve"> Los educandos aprenden a evaluar candidatos y propuestas, a analizar argumentos y a tomar decisiones informadas. Esto refuerza sus habilidades de pensamiento crítico y les ayuda a ser ciudadanos informados y responsables.</w:t>
      </w:r>
    </w:p>
    <w:p w14:paraId="17000000">
      <w:pPr>
        <w:numPr>
          <w:ilvl w:val="1"/>
          <w:numId w:val="4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Debate y Discusión:</w:t>
      </w:r>
      <w:r>
        <w:rPr>
          <w:rFonts w:ascii="Times New Roman" w:hAnsi="Times New Roman"/>
          <w:sz w:val="24"/>
        </w:rPr>
        <w:t xml:space="preserve"> La organización de procesos electorales involucra debates y discusiones, lo que enseña a los estudiantes a respetar diferentes puntos de vista, a argumentar de manera constructiva y a escuchar a los demás.</w:t>
      </w:r>
    </w:p>
    <w:p w14:paraId="18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Fomento de la Honestidad y la Transparencia:</w:t>
      </w:r>
    </w:p>
    <w:p w14:paraId="19000000">
      <w:pPr>
        <w:numPr>
          <w:ilvl w:val="1"/>
          <w:numId w:val="5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Integridad:</w:t>
      </w:r>
      <w:r>
        <w:rPr>
          <w:rFonts w:ascii="Times New Roman" w:hAnsi="Times New Roman"/>
          <w:sz w:val="24"/>
        </w:rPr>
        <w:t xml:space="preserve"> La gestión del proceso electoral proporciona una oportunidad para que los estudiantes experimenten la importancia de la transparencia, la equidad y la honestidad en las elecciones. Aprenden cómo prevenir el fraude electoral y cómo mantener la integridad del proceso.</w:t>
      </w:r>
    </w:p>
    <w:p w14:paraId="1A000000">
      <w:pPr>
        <w:numPr>
          <w:ilvl w:val="1"/>
          <w:numId w:val="5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Ética:</w:t>
      </w:r>
      <w:r>
        <w:rPr>
          <w:rFonts w:ascii="Times New Roman" w:hAnsi="Times New Roman"/>
          <w:sz w:val="24"/>
        </w:rPr>
        <w:t xml:space="preserve"> Al participar en elecciones organizadas y bien gestionadas, los estudiantes interiorizan principios éticos relacionados con el liderazgo, la justicia y la equidad.</w:t>
      </w:r>
    </w:p>
    <w:p w14:paraId="1B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Desarrollo de Habilidades Organizativas y de Liderazgo:</w:t>
      </w:r>
    </w:p>
    <w:p w14:paraId="1C000000">
      <w:pPr>
        <w:numPr>
          <w:ilvl w:val="1"/>
          <w:numId w:val="6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Planificación y Gestión:</w:t>
      </w:r>
      <w:r>
        <w:rPr>
          <w:rFonts w:ascii="Times New Roman" w:hAnsi="Times New Roman"/>
          <w:sz w:val="24"/>
        </w:rPr>
        <w:t xml:space="preserve"> Organizar un proceso electoral implica habilidades de planificación, organización y gestión, lo que ofrece a los estudiantes una experiencia práctica en la coordinación de eventos y en la administración de proyectos.</w:t>
      </w:r>
    </w:p>
    <w:p w14:paraId="1D000000">
      <w:pPr>
        <w:numPr>
          <w:ilvl w:val="1"/>
          <w:numId w:val="6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Liderazgo:</w:t>
      </w:r>
      <w:r>
        <w:rPr>
          <w:rFonts w:ascii="Times New Roman" w:hAnsi="Times New Roman"/>
          <w:sz w:val="24"/>
        </w:rPr>
        <w:t xml:space="preserve"> Los estudiantes que se postulan para cargos o que asumen roles organizativos en el proceso electoral desarrollan habilidades de liderazgo y responsabilidad, aprendiendo a gestionar equipos y a tomar decisiones.</w:t>
      </w:r>
    </w:p>
    <w:p w14:paraId="1E00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4"/>
        </w:rPr>
      </w:pPr>
    </w:p>
    <w:p w14:paraId="1F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Valoración del Pluralismo y la Inclusión:</w:t>
      </w:r>
    </w:p>
    <w:p w14:paraId="20000000">
      <w:pPr>
        <w:numPr>
          <w:ilvl w:val="1"/>
          <w:numId w:val="7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Diversidad de Opiniones:</w:t>
      </w:r>
      <w:r>
        <w:rPr>
          <w:rFonts w:ascii="Times New Roman" w:hAnsi="Times New Roman"/>
          <w:sz w:val="24"/>
        </w:rPr>
        <w:t xml:space="preserve"> La participación en elecciones ayuda a los estudiantes a valorar la diversidad de opiniones y a comprender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z w:val="24"/>
        </w:rPr>
        <w:t xml:space="preserve"> en una sociedad democrática, las decisiones se toman considerando múltiples perspectivas.</w:t>
      </w:r>
    </w:p>
    <w:p w14:paraId="21000000">
      <w:pPr>
        <w:numPr>
          <w:ilvl w:val="1"/>
          <w:numId w:val="7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Inclusión:</w:t>
      </w:r>
      <w:r>
        <w:rPr>
          <w:rFonts w:ascii="Times New Roman" w:hAnsi="Times New Roman"/>
          <w:sz w:val="24"/>
        </w:rPr>
        <w:t xml:space="preserve"> Promueve el respeto por la igualdad de derechos y oportunidades, enseñando a los estudiantes a valorar la participación de todos los miembros de la comunidad.</w:t>
      </w:r>
    </w:p>
    <w:p w14:paraId="22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resumen, la organización del proceso electoral es una herramienta educativa clave para desarrollar la formación cívica y moral de los estudiantes, preparándolos para ser ciudadanos comprometidos, críticos y éticos.</w:t>
      </w:r>
    </w:p>
    <w:p w14:paraId="23000000">
      <w:pPr>
        <w:ind/>
        <w:jc w:val="both"/>
        <w:rPr>
          <w:rFonts w:ascii="Aldine721 BT" w:hAnsi="Aldine721 BT"/>
          <w:b w:val="1"/>
          <w:i w:val="1"/>
          <w:sz w:val="24"/>
        </w:rPr>
      </w:pPr>
    </w:p>
    <w:p w14:paraId="24000000">
      <w:pPr>
        <w:pStyle w:val="Style_2"/>
        <w:ind/>
        <w:jc w:val="both"/>
        <w:rPr>
          <w:rFonts w:ascii="Aldine721 BT" w:hAnsi="Aldine721 BT"/>
          <w:b w:val="1"/>
          <w:i w:val="1"/>
          <w:color w:val="FF0000"/>
          <w:sz w:val="24"/>
        </w:rPr>
      </w:pPr>
      <w:r>
        <w:rPr>
          <w:rFonts w:ascii="Aldine721 BT" w:hAnsi="Aldine721 BT"/>
          <w:b w:val="1"/>
          <w:i w:val="1"/>
          <w:color w:val="FF0000"/>
          <w:sz w:val="24"/>
        </w:rPr>
        <w:t>¿Cuáles son los órganos de administración, fiscalización y asesoramiento de la mutual escolar?</w:t>
      </w:r>
    </w:p>
    <w:p w14:paraId="25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una mutual escolar, los órganos de administración, fiscalización y asesoramiento tienen funciones específicas para garantizar el buen funcionamiento y la transparencia de la organiza</w:t>
      </w:r>
      <w:r>
        <w:rPr>
          <w:rFonts w:ascii="Times New Roman" w:hAnsi="Times New Roman"/>
          <w:sz w:val="24"/>
        </w:rPr>
        <w:t xml:space="preserve">ción. A continuación, se detalla </w:t>
      </w:r>
      <w:r>
        <w:rPr>
          <w:rFonts w:ascii="Times New Roman" w:hAnsi="Times New Roman"/>
          <w:sz w:val="24"/>
        </w:rPr>
        <w:t>cada uno de estos órganos:</w:t>
      </w:r>
    </w:p>
    <w:p w14:paraId="26000000">
      <w:pPr>
        <w:spacing w:afterAutospacing="on" w:beforeAutospacing="on" w:line="240" w:lineRule="auto"/>
        <w:ind/>
        <w:outlineLvl w:val="2"/>
        <w:rPr>
          <w:rFonts w:ascii="Times New Roman" w:hAnsi="Times New Roman"/>
          <w:b w:val="1"/>
          <w:color w:val="1722F7"/>
          <w:sz w:val="27"/>
        </w:rPr>
      </w:pPr>
      <w:r>
        <w:rPr>
          <w:rFonts w:ascii="Times New Roman" w:hAnsi="Times New Roman"/>
          <w:b w:val="1"/>
          <w:color w:val="1722F7"/>
          <w:sz w:val="27"/>
        </w:rPr>
        <w:t>Órganos de Administración</w:t>
      </w:r>
    </w:p>
    <w:p w14:paraId="27000000">
      <w:pPr>
        <w:numPr>
          <w:ilvl w:val="0"/>
          <w:numId w:val="8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Asamblea General:</w:t>
      </w:r>
    </w:p>
    <w:p w14:paraId="28000000">
      <w:pPr>
        <w:numPr>
          <w:ilvl w:val="1"/>
          <w:numId w:val="9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Función:</w:t>
      </w:r>
      <w:r>
        <w:rPr>
          <w:rFonts w:ascii="Times New Roman" w:hAnsi="Times New Roman"/>
          <w:sz w:val="24"/>
        </w:rPr>
        <w:t xml:space="preserve"> Es el órgano supremo de la mutual escolar. Está compuesta por todos los miembros (estudiantes, padres, y/o docentes) y se encarga de tomar las decisiones más importantes, como la aprobación del presupuesto, la modificación de estatutos, y la elección de los miembros de los otros órganos.</w:t>
      </w:r>
    </w:p>
    <w:p w14:paraId="29000000">
      <w:pPr>
        <w:numPr>
          <w:ilvl w:val="1"/>
          <w:numId w:val="9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Reuniones:</w:t>
      </w:r>
      <w:r>
        <w:rPr>
          <w:rFonts w:ascii="Times New Roman" w:hAnsi="Times New Roman"/>
          <w:sz w:val="24"/>
        </w:rPr>
        <w:t xml:space="preserve"> Se reúne periódicamente según lo estipulado en los estatutos de la mutual, generalmente de forma anual o en momentos clave.</w:t>
      </w:r>
    </w:p>
    <w:p w14:paraId="2A000000">
      <w:pPr>
        <w:numPr>
          <w:ilvl w:val="0"/>
          <w:numId w:val="8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Consejo Directivo o Junta Directiva:</w:t>
      </w:r>
    </w:p>
    <w:p w14:paraId="2B000000">
      <w:pPr>
        <w:numPr>
          <w:ilvl w:val="1"/>
          <w:numId w:val="10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Función:</w:t>
      </w:r>
      <w:r>
        <w:rPr>
          <w:rFonts w:ascii="Times New Roman" w:hAnsi="Times New Roman"/>
          <w:sz w:val="24"/>
        </w:rPr>
        <w:t xml:space="preserve"> Es el órgano encargado de la administración y gestión diaria de la mutual. Se ocupa de ejecutar las decisiones de la Asamblea General y de llevar a cabo las operaciones diarias, tales como la administración financiera, la planificación de actividades y la supervisión de los proyectos.</w:t>
      </w:r>
    </w:p>
    <w:p w14:paraId="2C000000">
      <w:pPr>
        <w:numPr>
          <w:ilvl w:val="1"/>
          <w:numId w:val="10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Miembros:</w:t>
      </w:r>
      <w:r>
        <w:rPr>
          <w:rFonts w:ascii="Times New Roman" w:hAnsi="Times New Roman"/>
          <w:sz w:val="24"/>
        </w:rPr>
        <w:t xml:space="preserve"> Normalmente está compuesto por un presidente, un vicepresidente, un secretario, un tesorero y otros miembros designados por la Asamblea General.</w:t>
      </w:r>
    </w:p>
    <w:p w14:paraId="2D000000">
      <w:pPr>
        <w:spacing w:afterAutospacing="on" w:beforeAutospacing="on" w:line="240" w:lineRule="auto"/>
        <w:ind/>
        <w:outlineLvl w:val="2"/>
        <w:rPr>
          <w:rFonts w:ascii="Times New Roman" w:hAnsi="Times New Roman"/>
          <w:b w:val="1"/>
          <w:color w:val="1722F7"/>
          <w:sz w:val="27"/>
        </w:rPr>
      </w:pPr>
      <w:r>
        <w:rPr>
          <w:rFonts w:ascii="Times New Roman" w:hAnsi="Times New Roman"/>
          <w:b w:val="1"/>
          <w:color w:val="1722F7"/>
          <w:sz w:val="27"/>
        </w:rPr>
        <w:t>Órganos de Fiscalización</w:t>
      </w:r>
    </w:p>
    <w:p w14:paraId="2E000000">
      <w:pPr>
        <w:numPr>
          <w:ilvl w:val="0"/>
          <w:numId w:val="1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Comisión de Fiscalización o Junta Fiscalizadora:</w:t>
      </w:r>
    </w:p>
    <w:p w14:paraId="2F000000">
      <w:pPr>
        <w:numPr>
          <w:ilvl w:val="1"/>
          <w:numId w:val="1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Función:</w:t>
      </w:r>
      <w:r>
        <w:rPr>
          <w:rFonts w:ascii="Times New Roman" w:hAnsi="Times New Roman"/>
          <w:sz w:val="24"/>
        </w:rPr>
        <w:t xml:space="preserve"> Su tarea es supervisar y controlar la gestión financiera y administrativa de la mutual. Se encarga de revisar los informes financieros, verificar la correcta utilización de los recursos y asegurar que las operaciones se realicen de acuerdo con los estatutos y las normativas vigentes.</w:t>
      </w:r>
    </w:p>
    <w:p w14:paraId="30000000">
      <w:pPr>
        <w:numPr>
          <w:ilvl w:val="1"/>
          <w:numId w:val="1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Requisitos:</w:t>
      </w:r>
      <w:r>
        <w:rPr>
          <w:rFonts w:ascii="Times New Roman" w:hAnsi="Times New Roman"/>
          <w:sz w:val="24"/>
        </w:rPr>
        <w:t xml:space="preserve"> Los miembros de este órgano suelen ser personas independientes de la administración diaria y tienen la responsabilidad de emitir informes y recomendaciones sobre la gestión.</w:t>
      </w:r>
    </w:p>
    <w:p w14:paraId="31000000">
      <w:pPr>
        <w:spacing w:afterAutospacing="on" w:beforeAutospacing="on" w:line="240" w:lineRule="auto"/>
        <w:ind/>
        <w:outlineLvl w:val="2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val="1722F7"/>
          <w:sz w:val="27"/>
        </w:rPr>
        <w:t>Órganos de Asesoramiento</w:t>
      </w:r>
    </w:p>
    <w:p w14:paraId="32000000">
      <w:pPr>
        <w:numPr>
          <w:ilvl w:val="0"/>
          <w:numId w:val="13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Comisión Asesora o Comité Asesor:</w:t>
      </w:r>
    </w:p>
    <w:p w14:paraId="33000000">
      <w:pPr>
        <w:numPr>
          <w:ilvl w:val="1"/>
          <w:numId w:val="14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Función:</w:t>
      </w:r>
      <w:r>
        <w:rPr>
          <w:rFonts w:ascii="Times New Roman" w:hAnsi="Times New Roman"/>
          <w:sz w:val="24"/>
        </w:rPr>
        <w:t xml:space="preserve"> Este órgano proporciona orientación y apoyo técnico a la mutual. Puede estar compuesto por expertos en áreas relevantes, como finanzas, educación, derecho y administración. Su función es ofrecer asesoramiento sobre cuestiones técnicas, legales y estratégicas para mejorar el funcionamiento de la mutual.</w:t>
      </w:r>
    </w:p>
    <w:p w14:paraId="34000000">
      <w:pPr>
        <w:numPr>
          <w:ilvl w:val="1"/>
          <w:numId w:val="14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Asesoría:</w:t>
      </w:r>
      <w:r>
        <w:rPr>
          <w:rFonts w:ascii="Times New Roman" w:hAnsi="Times New Roman"/>
          <w:sz w:val="24"/>
        </w:rPr>
        <w:t xml:space="preserve"> Ofrecen recomendaciones sobre la implementación de políticas, la resolución de conflictos y el desarrollo de nuevos proyectos.</w:t>
      </w:r>
    </w:p>
    <w:p w14:paraId="35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 resumen, </w:t>
      </w:r>
      <w:r>
        <w:rPr>
          <w:rFonts w:ascii="Times New Roman" w:hAnsi="Times New Roman"/>
          <w:sz w:val="24"/>
        </w:rPr>
        <w:t xml:space="preserve">la </w:t>
      </w:r>
      <w:r>
        <w:rPr>
          <w:rFonts w:ascii="Times New Roman" w:hAnsi="Times New Roman"/>
          <w:b w:val="1"/>
          <w:sz w:val="24"/>
        </w:rPr>
        <w:t>Asamblea General</w:t>
      </w:r>
      <w:r>
        <w:rPr>
          <w:rFonts w:ascii="Times New Roman" w:hAnsi="Times New Roman"/>
          <w:sz w:val="24"/>
        </w:rPr>
        <w:t xml:space="preserve"> toma las decisiones clave y establece políticas, el </w:t>
      </w:r>
      <w:r>
        <w:rPr>
          <w:rFonts w:ascii="Times New Roman" w:hAnsi="Times New Roman"/>
          <w:b w:val="1"/>
          <w:sz w:val="24"/>
        </w:rPr>
        <w:t>Consejo Directivo</w:t>
      </w:r>
      <w:r>
        <w:rPr>
          <w:rFonts w:ascii="Times New Roman" w:hAnsi="Times New Roman"/>
          <w:sz w:val="24"/>
        </w:rPr>
        <w:t xml:space="preserve"> gestiona las operaciones diarias, la </w:t>
      </w:r>
      <w:r>
        <w:rPr>
          <w:rFonts w:ascii="Times New Roman" w:hAnsi="Times New Roman"/>
          <w:b w:val="1"/>
          <w:sz w:val="24"/>
        </w:rPr>
        <w:t>Comisión de Fiscalización</w:t>
      </w:r>
      <w:r>
        <w:rPr>
          <w:rFonts w:ascii="Times New Roman" w:hAnsi="Times New Roman"/>
          <w:sz w:val="24"/>
        </w:rPr>
        <w:t xml:space="preserve"> asegura la transparencia y la correcta administración de los recursos, y la </w:t>
      </w:r>
      <w:r>
        <w:rPr>
          <w:rFonts w:ascii="Times New Roman" w:hAnsi="Times New Roman"/>
          <w:b w:val="1"/>
          <w:sz w:val="24"/>
        </w:rPr>
        <w:t>Comisión Asesora</w:t>
      </w:r>
      <w:r>
        <w:rPr>
          <w:rFonts w:ascii="Times New Roman" w:hAnsi="Times New Roman"/>
          <w:sz w:val="24"/>
        </w:rPr>
        <w:t xml:space="preserve"> ofrece asesoramiento experto para la toma de decisiones informadas.</w:t>
      </w:r>
    </w:p>
    <w:p w14:paraId="36000000">
      <w:pPr>
        <w:ind/>
        <w:jc w:val="both"/>
        <w:rPr>
          <w:rFonts w:ascii="Aldine721 BT" w:hAnsi="Aldine721 BT"/>
          <w:b w:val="1"/>
          <w:i w:val="1"/>
          <w:sz w:val="24"/>
        </w:rPr>
      </w:pPr>
    </w:p>
    <w:p w14:paraId="37000000">
      <w:pPr>
        <w:ind/>
        <w:jc w:val="both"/>
        <w:rPr>
          <w:rFonts w:ascii="Aldine721 BT" w:hAnsi="Aldine721 BT"/>
          <w:b w:val="1"/>
          <w:i w:val="1"/>
          <w:color w:val="FF0000"/>
          <w:sz w:val="24"/>
        </w:rPr>
      </w:pPr>
      <w:r>
        <w:rPr>
          <w:rFonts w:ascii="Aldine721 BT" w:hAnsi="Aldine721 BT"/>
          <w:b w:val="1"/>
          <w:i w:val="1"/>
          <w:color w:val="FF0000"/>
          <w:sz w:val="24"/>
        </w:rPr>
        <w:t>Destaque la importancia de las comisiones de trabajo.</w:t>
      </w:r>
    </w:p>
    <w:p w14:paraId="38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Las comisiones de trabajo en una mutual escolar juegan un papel crucial en la eficiencia y efectividad de la organización. </w:t>
      </w:r>
    </w:p>
    <w:p w14:paraId="39000000">
      <w:pPr>
        <w:spacing w:afterAutospacing="on" w:beforeAutospacing="on" w:line="240" w:lineRule="auto"/>
        <w:ind/>
        <w:outlineLvl w:val="2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Especialización y Enfoque</w:t>
      </w:r>
    </w:p>
    <w:p w14:paraId="3A000000">
      <w:pPr>
        <w:numPr>
          <w:ilvl w:val="0"/>
          <w:numId w:val="15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Las comisiones de trabajo permiten que los miembros se enfoquen en áreas específicas, como finanzas, eventos, comunicación, o desarrollo de programas. Esto fomenta la especialización y permite que personas con habilidades o conocimientos particulares se dediquen a tareas específicas, mejorando la calidad y eficacia del trabajo.</w:t>
      </w:r>
    </w:p>
    <w:p w14:paraId="3B000000">
      <w:pPr>
        <w:numPr>
          <w:ilvl w:val="0"/>
          <w:numId w:val="15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Eficiencia:</w:t>
      </w:r>
      <w:r>
        <w:rPr>
          <w:rFonts w:ascii="Times New Roman" w:hAnsi="Times New Roman"/>
          <w:sz w:val="24"/>
        </w:rPr>
        <w:t xml:space="preserve"> Al delegar tareas en comisiones especializadas, se evita la sobrecarga de trabajo para el Consejo Directivo o la Asamblea General, lo que facilita la gestión y la toma de decisiones más ágiles.</w:t>
      </w:r>
    </w:p>
    <w:p w14:paraId="3C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7"/>
        </w:rPr>
        <w:t>Optimización de Recursos</w:t>
      </w:r>
    </w:p>
    <w:p w14:paraId="3D000000">
      <w:pPr>
        <w:numPr>
          <w:ilvl w:val="0"/>
          <w:numId w:val="16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Las comisiones ayudan a distribuir la carga de trabajo entre varios miembros, asegurando que las responsabilidades se compartan equitativamente y que las tareas se realicen de manera oportuna.</w:t>
      </w:r>
    </w:p>
    <w:p w14:paraId="3E000000">
      <w:pPr>
        <w:numPr>
          <w:ilvl w:val="0"/>
          <w:numId w:val="16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Uso Eficiente de Recursos:</w:t>
      </w:r>
      <w:r>
        <w:rPr>
          <w:rFonts w:ascii="Times New Roman" w:hAnsi="Times New Roman"/>
          <w:sz w:val="24"/>
        </w:rPr>
        <w:t xml:space="preserve"> Permiten una mejor asignación de recursos al centrarse en áreas específicas que requieren atención, lo que optimiza el uso del tiempo y los recursos disponibles.</w:t>
      </w:r>
    </w:p>
    <w:p w14:paraId="3F000000">
      <w:pPr>
        <w:spacing w:afterAutospacing="on" w:beforeAutospacing="on" w:line="240" w:lineRule="auto"/>
        <w:ind/>
        <w:outlineLvl w:val="2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Desarrollo de Liderazgo y Participación</w:t>
      </w:r>
    </w:p>
    <w:p w14:paraId="40000000">
      <w:pPr>
        <w:numPr>
          <w:ilvl w:val="0"/>
          <w:numId w:val="17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Participar en una comisión brinda a los miembros la oportunidad de desarrollar habilidades de liderazgo, gestión y coordinación. Esto contribuye al crecimiento personal y profesional de los integrantes.</w:t>
      </w:r>
    </w:p>
    <w:p w14:paraId="41000000">
      <w:pPr>
        <w:numPr>
          <w:ilvl w:val="0"/>
          <w:numId w:val="17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Involucramiento Activo:</w:t>
      </w:r>
      <w:r>
        <w:rPr>
          <w:rFonts w:ascii="Times New Roman" w:hAnsi="Times New Roman"/>
          <w:sz w:val="24"/>
        </w:rPr>
        <w:t xml:space="preserve"> Fomenta la participación activa de los miembros en la mutual escolar. Al formar parte de una comisión, los miembros se sienten más comprometidos y tienen un sentido de responsabilidad hacia los objetivos de la mutual.</w:t>
      </w:r>
    </w:p>
    <w:p w14:paraId="42000000">
      <w:pPr>
        <w:spacing w:afterAutospacing="on" w:beforeAutospacing="on" w:line="240" w:lineRule="auto"/>
        <w:ind/>
        <w:outlineLvl w:val="2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Mejora de la Toma de Decisiones</w:t>
      </w:r>
    </w:p>
    <w:p w14:paraId="43000000">
      <w:pPr>
        <w:numPr>
          <w:ilvl w:val="0"/>
          <w:numId w:val="18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Las comisiones permiten un análisis más detallado y profundo de los temas específicos, ya que están compuestas por miembros que se especializan en </w:t>
      </w:r>
      <w:r>
        <w:rPr>
          <w:rFonts w:ascii="Times New Roman" w:hAnsi="Times New Roman"/>
          <w:sz w:val="24"/>
        </w:rPr>
        <w:t>esos áreas</w:t>
      </w:r>
      <w:r>
        <w:rPr>
          <w:rFonts w:ascii="Times New Roman" w:hAnsi="Times New Roman"/>
          <w:sz w:val="24"/>
        </w:rPr>
        <w:t>. Esto resulta en una toma de decisiones más informada y basada en un conocimiento detallado.</w:t>
      </w:r>
    </w:p>
    <w:p w14:paraId="44000000">
      <w:pPr>
        <w:numPr>
          <w:ilvl w:val="0"/>
          <w:numId w:val="18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Recomendaciones Fundadas:</w:t>
      </w:r>
      <w:r>
        <w:rPr>
          <w:rFonts w:ascii="Times New Roman" w:hAnsi="Times New Roman"/>
          <w:sz w:val="24"/>
        </w:rPr>
        <w:t xml:space="preserve"> Las comisiones elaboran informes y recomendaciones basadas en sus investigaciones y deliberaciones, lo que ayuda a la Asamblea General y al Consejo Directivo a tomar decisiones más fundamentadas y estratégicas.</w:t>
      </w:r>
    </w:p>
    <w:p w14:paraId="45000000">
      <w:pPr>
        <w:spacing w:afterAutospacing="on" w:beforeAutospacing="on" w:line="240" w:lineRule="auto"/>
        <w:ind/>
        <w:outlineLvl w:val="2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Innovación y Creatividad</w:t>
      </w:r>
    </w:p>
    <w:p w14:paraId="46000000">
      <w:pPr>
        <w:numPr>
          <w:ilvl w:val="0"/>
          <w:numId w:val="19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 estar conformadas por miembros con diferentes perspectivas y habilidades, las comisiones pueden aportar nuevas ideas y enfoques innovadores para resolver problemas o desarrollar proyectos.</w:t>
      </w:r>
    </w:p>
    <w:p w14:paraId="47000000">
      <w:pPr>
        <w:numPr>
          <w:ilvl w:val="0"/>
          <w:numId w:val="19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Implementación de Proyectos:</w:t>
      </w:r>
      <w:r>
        <w:rPr>
          <w:rFonts w:ascii="Times New Roman" w:hAnsi="Times New Roman"/>
          <w:sz w:val="24"/>
        </w:rPr>
        <w:t xml:space="preserve"> Facilitan la implementación de nuevas iniciativas y programas al enfocarse en aspectos específicos, promoviendo la creatividad y la adaptación a las necesidades cambiantes de la mutual.</w:t>
      </w:r>
    </w:p>
    <w:p w14:paraId="48000000">
      <w:pPr>
        <w:spacing w:afterAutospacing="on" w:beforeAutospacing="on" w:line="240" w:lineRule="auto"/>
        <w:ind/>
        <w:outlineLvl w:val="2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Transparencia y Rendición de Cuentas</w:t>
      </w:r>
    </w:p>
    <w:p w14:paraId="49000000">
      <w:pPr>
        <w:numPr>
          <w:ilvl w:val="0"/>
          <w:numId w:val="20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Las comisiones son responsables de monitorear y evaluar áreas específicas, lo que ayuda a mantener la transparencia en la gestión de recursos y en la implementación de políticas.</w:t>
      </w:r>
    </w:p>
    <w:p w14:paraId="4A000000">
      <w:pPr>
        <w:numPr>
          <w:ilvl w:val="0"/>
          <w:numId w:val="20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Informes Periódicos:</w:t>
      </w:r>
      <w:r>
        <w:rPr>
          <w:rFonts w:ascii="Times New Roman" w:hAnsi="Times New Roman"/>
          <w:sz w:val="24"/>
        </w:rPr>
        <w:t xml:space="preserve"> Proporcionan informes periódicos a la Asamblea General o al Consejo Directivo, asegurando que todos los miembros estén informados sobre el progreso y los resultados de las actividades.</w:t>
      </w:r>
    </w:p>
    <w:p w14:paraId="4B000000">
      <w:pPr>
        <w:ind/>
        <w:jc w:val="both"/>
        <w:rPr>
          <w:rFonts w:ascii="Aldine721 BT" w:hAnsi="Aldine721 BT"/>
          <w:b w:val="1"/>
          <w:i w:val="1"/>
          <w:sz w:val="24"/>
        </w:rPr>
      </w:pPr>
    </w:p>
    <w:p w14:paraId="4C000000">
      <w:pPr>
        <w:pStyle w:val="Style_2"/>
        <w:ind/>
        <w:jc w:val="both"/>
        <w:rPr>
          <w:rFonts w:ascii="Aldine721 BT" w:hAnsi="Aldine721 BT"/>
          <w:b w:val="1"/>
          <w:i w:val="1"/>
          <w:color w:val="FF0000"/>
          <w:sz w:val="24"/>
        </w:rPr>
      </w:pPr>
      <w:r>
        <w:rPr>
          <w:rFonts w:ascii="Aldine721 BT" w:hAnsi="Aldine721 BT"/>
          <w:b w:val="1"/>
          <w:i w:val="1"/>
          <w:color w:val="FF0000"/>
          <w:sz w:val="24"/>
        </w:rPr>
        <w:t>¿Cuáles son los distintos servicios que pueden prestar una mutual escolar?</w:t>
      </w:r>
    </w:p>
    <w:p w14:paraId="4D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Una mutual escolar puede ofrecer una amplia gama de servicios destinados a beneficiar a los estudiantes, sus familias y la comunidad educativa en general. A continuación, te </w:t>
      </w:r>
      <w:r>
        <w:rPr>
          <w:rFonts w:ascii="Times New Roman" w:hAnsi="Times New Roman"/>
          <w:sz w:val="24"/>
        </w:rPr>
        <w:t>detallo los diferentes servicios que pueden prestar y las ventajas educativas, económicas y sociales que brindan:</w:t>
      </w:r>
    </w:p>
    <w:p w14:paraId="4E000000">
      <w:pPr>
        <w:spacing w:afterAutospacing="on" w:beforeAutospacing="on" w:line="240" w:lineRule="auto"/>
        <w:ind/>
        <w:outlineLvl w:val="2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Servicios que Puede Prestar una Mutual Escolar</w:t>
      </w:r>
    </w:p>
    <w:p w14:paraId="4F000000">
      <w:pPr>
        <w:numPr>
          <w:ilvl w:val="0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Servicios Educativos:</w:t>
      </w:r>
    </w:p>
    <w:p w14:paraId="50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Tutores y Clases de Apoyo:</w:t>
      </w:r>
      <w:r>
        <w:rPr>
          <w:rFonts w:ascii="Times New Roman" w:hAnsi="Times New Roman"/>
          <w:sz w:val="24"/>
        </w:rPr>
        <w:t xml:space="preserve"> Proporcionar apoyo académico adicional a los estudiantes que lo necesiten, a través de tutorías o clases de refuerzo en materias específicas.</w:t>
      </w:r>
    </w:p>
    <w:p w14:paraId="51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Becas y Ayudas Económicas:</w:t>
      </w:r>
      <w:r>
        <w:rPr>
          <w:rFonts w:ascii="Times New Roman" w:hAnsi="Times New Roman"/>
          <w:sz w:val="24"/>
        </w:rPr>
        <w:t xml:space="preserve"> Ofrecer becas para estudiantes destacados o ayudas económicas para aquellos que necesitan apoyo financiero para continuar con sus estudios.</w:t>
      </w:r>
    </w:p>
    <w:p w14:paraId="52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Actividades Extracurriculares:</w:t>
      </w:r>
      <w:r>
        <w:rPr>
          <w:rFonts w:ascii="Times New Roman" w:hAnsi="Times New Roman"/>
          <w:sz w:val="24"/>
        </w:rPr>
        <w:t xml:space="preserve"> Organizar talleres, cursos y actividades extracurriculares que complementen la educación formal, como clubes de ciencias, artes, deportes, etc.</w:t>
      </w:r>
    </w:p>
    <w:p w14:paraId="53000000">
      <w:pPr>
        <w:numPr>
          <w:ilvl w:val="0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Servicios de Salud y Bienestar:</w:t>
      </w:r>
    </w:p>
    <w:p w14:paraId="54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Atención Médica Básica:</w:t>
      </w:r>
      <w:r>
        <w:rPr>
          <w:rFonts w:ascii="Times New Roman" w:hAnsi="Times New Roman"/>
          <w:sz w:val="24"/>
        </w:rPr>
        <w:t xml:space="preserve"> Brindar acceso a servicios de atención médica y primeros auxilios en la escuela, o colaborar con profesionales de la salud para proporcionar revisiones periódicas.</w:t>
      </w:r>
    </w:p>
    <w:p w14:paraId="55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Programas de Salud Mental:</w:t>
      </w:r>
      <w:r>
        <w:rPr>
          <w:rFonts w:ascii="Times New Roman" w:hAnsi="Times New Roman"/>
          <w:sz w:val="24"/>
        </w:rPr>
        <w:t xml:space="preserve"> Ofrecer programas de apoyo psicológico y orientación para el bienestar emocional de los estudiantes.</w:t>
      </w:r>
    </w:p>
    <w:p w14:paraId="56000000">
      <w:pPr>
        <w:numPr>
          <w:ilvl w:val="0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Servicios de Asesoramiento:</w:t>
      </w:r>
    </w:p>
    <w:p w14:paraId="57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Orientación Vocacional:</w:t>
      </w:r>
      <w:r>
        <w:rPr>
          <w:rFonts w:ascii="Times New Roman" w:hAnsi="Times New Roman"/>
          <w:sz w:val="24"/>
        </w:rPr>
        <w:t xml:space="preserve"> Proporcionar asesoramiento y orientación sobre opciones educativas y profesionales para ayudar a los estudiantes a tomar decisiones informadas sobre su futuro.</w:t>
      </w:r>
    </w:p>
    <w:p w14:paraId="58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Consejería Familiar:</w:t>
      </w:r>
      <w:r>
        <w:rPr>
          <w:rFonts w:ascii="Times New Roman" w:hAnsi="Times New Roman"/>
          <w:sz w:val="24"/>
        </w:rPr>
        <w:t xml:space="preserve"> Ofrecer apoyo a las familias en temas relacionados con la educación y el desarrollo infantil.</w:t>
      </w:r>
    </w:p>
    <w:p w14:paraId="59000000">
      <w:pPr>
        <w:numPr>
          <w:ilvl w:val="0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Servicios de Apoyo Logístico:</w:t>
      </w:r>
    </w:p>
    <w:p w14:paraId="5A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Transporte Escolar:</w:t>
      </w:r>
      <w:r>
        <w:rPr>
          <w:rFonts w:ascii="Times New Roman" w:hAnsi="Times New Roman"/>
          <w:sz w:val="24"/>
        </w:rPr>
        <w:t xml:space="preserve"> Organizar transporte para estudiantes que viven lejos de la escuela o que necesitan ayuda para llegar a ella.</w:t>
      </w:r>
    </w:p>
    <w:p w14:paraId="5B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Material Escolar:</w:t>
      </w:r>
      <w:r>
        <w:rPr>
          <w:rFonts w:ascii="Times New Roman" w:hAnsi="Times New Roman"/>
          <w:sz w:val="24"/>
        </w:rPr>
        <w:t xml:space="preserve"> Facilitar la adquisición de materiales escolares, uniformes y otros recursos necesarios para el estudio.</w:t>
      </w:r>
    </w:p>
    <w:p w14:paraId="5C000000">
      <w:pPr>
        <w:numPr>
          <w:ilvl w:val="0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Servicios Sociales:</w:t>
      </w:r>
    </w:p>
    <w:p w14:paraId="5D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Ayuda Alimentaria:</w:t>
      </w:r>
      <w:r>
        <w:rPr>
          <w:rFonts w:ascii="Times New Roman" w:hAnsi="Times New Roman"/>
          <w:sz w:val="24"/>
        </w:rPr>
        <w:t xml:space="preserve"> Ofrecer almuerzos gratuitos o a bajo costo, así como programas de distribución de alimentos para estudiantes de familias con dificultades económicas.</w:t>
      </w:r>
    </w:p>
    <w:p w14:paraId="5E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Apoyo a Familias:</w:t>
      </w:r>
      <w:r>
        <w:rPr>
          <w:rFonts w:ascii="Times New Roman" w:hAnsi="Times New Roman"/>
          <w:sz w:val="24"/>
        </w:rPr>
        <w:t xml:space="preserve"> Implementar programas de asistencia para familias en situaciones de emergencia o dificultades económicas.</w:t>
      </w:r>
    </w:p>
    <w:p w14:paraId="5F000000">
      <w:pPr>
        <w:numPr>
          <w:ilvl w:val="0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Servicios Comunitarios:</w:t>
      </w:r>
    </w:p>
    <w:p w14:paraId="60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Proyectos de Voluntariado:</w:t>
      </w:r>
      <w:r>
        <w:rPr>
          <w:rFonts w:ascii="Times New Roman" w:hAnsi="Times New Roman"/>
          <w:sz w:val="24"/>
        </w:rPr>
        <w:t xml:space="preserve"> Fomentar y coordinar actividades de voluntariado y proyectos comunitarios que involucren a estudiantes, familias y personal escolar.</w:t>
      </w:r>
    </w:p>
    <w:p w14:paraId="61000000">
      <w:pPr>
        <w:numPr>
          <w:ilvl w:val="1"/>
          <w:numId w:val="21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Eventos y Actividades Culturales:</w:t>
      </w:r>
      <w:r>
        <w:rPr>
          <w:rFonts w:ascii="Times New Roman" w:hAnsi="Times New Roman"/>
          <w:sz w:val="24"/>
        </w:rPr>
        <w:t xml:space="preserve"> Organizar eventos culturales, deportivos y recreativos que promuevan la integración y el desarrollo comunitario.</w:t>
      </w:r>
    </w:p>
    <w:p w14:paraId="62000000">
      <w:pPr>
        <w:pStyle w:val="Style_2"/>
        <w:ind/>
        <w:jc w:val="both"/>
        <w:rPr>
          <w:rFonts w:ascii="Aldine721 BT" w:hAnsi="Aldine721 BT"/>
          <w:b w:val="1"/>
          <w:i w:val="1"/>
          <w:color w:val="FF0000"/>
          <w:sz w:val="24"/>
        </w:rPr>
      </w:pPr>
      <w:r>
        <w:rPr>
          <w:rFonts w:ascii="Aldine721 BT" w:hAnsi="Aldine721 BT"/>
          <w:b w:val="1"/>
          <w:i w:val="1"/>
          <w:color w:val="FF0000"/>
          <w:sz w:val="24"/>
        </w:rPr>
        <w:t>¿Qué ventajas educativas, económicas y sociales brinda?</w:t>
      </w:r>
    </w:p>
    <w:p w14:paraId="63000000">
      <w:pPr>
        <w:pStyle w:val="Style_2"/>
        <w:ind/>
        <w:jc w:val="both"/>
        <w:rPr>
          <w:rFonts w:ascii="Aldine721 BT" w:hAnsi="Aldine721 BT"/>
          <w:b w:val="1"/>
          <w:i w:val="1"/>
          <w:color w:val="FF0000"/>
          <w:sz w:val="24"/>
        </w:rPr>
      </w:pPr>
    </w:p>
    <w:p w14:paraId="64000000">
      <w:pPr>
        <w:spacing w:afterAutospacing="on" w:beforeAutospacing="on" w:line="240" w:lineRule="auto"/>
        <w:ind/>
        <w:outlineLvl w:val="2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Ventajas Educativas, Económicas y Sociales</w:t>
      </w:r>
    </w:p>
    <w:p w14:paraId="65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Ventajas Educativas:</w:t>
      </w:r>
    </w:p>
    <w:p w14:paraId="66000000">
      <w:pPr>
        <w:numPr>
          <w:ilvl w:val="0"/>
          <w:numId w:val="2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Mejora del Rendimiento Académico:</w:t>
      </w:r>
      <w:r>
        <w:rPr>
          <w:rFonts w:ascii="Times New Roman" w:hAnsi="Times New Roman"/>
          <w:sz w:val="24"/>
        </w:rPr>
        <w:t xml:space="preserve"> Los servicios de apoyo académico y tutorías contribuyen a mejorar el rendimiento de los estudiantes al proporcionarles recursos adicionales y atención personalizada.</w:t>
      </w:r>
    </w:p>
    <w:p w14:paraId="67000000">
      <w:pPr>
        <w:numPr>
          <w:ilvl w:val="0"/>
          <w:numId w:val="2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Desarrollo Integral:</w:t>
      </w:r>
      <w:r>
        <w:rPr>
          <w:rFonts w:ascii="Times New Roman" w:hAnsi="Times New Roman"/>
          <w:sz w:val="24"/>
        </w:rPr>
        <w:t xml:space="preserve"> Las actividades extracurriculares y programas educativos complementarios fomentan habilidades adicionales, como liderazgo, creatividad y trabajo en equipo.</w:t>
      </w:r>
    </w:p>
    <w:p w14:paraId="68000000">
      <w:pPr>
        <w:numPr>
          <w:ilvl w:val="0"/>
          <w:numId w:val="22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Orientación Vocacional:</w:t>
      </w:r>
      <w:r>
        <w:rPr>
          <w:rFonts w:ascii="Times New Roman" w:hAnsi="Times New Roman"/>
          <w:sz w:val="24"/>
        </w:rPr>
        <w:t xml:space="preserve"> Ayuda a los estudiantes a tomar decisiones informadas sobre su futuro académico y profesional, aumentando sus oportunidades de éxito.</w:t>
      </w:r>
    </w:p>
    <w:p w14:paraId="69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Ventajas Económicas:</w:t>
      </w:r>
    </w:p>
    <w:p w14:paraId="6A000000">
      <w:pPr>
        <w:numPr>
          <w:ilvl w:val="0"/>
          <w:numId w:val="23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Reducción de Costos:</w:t>
      </w:r>
      <w:r>
        <w:rPr>
          <w:rFonts w:ascii="Times New Roman" w:hAnsi="Times New Roman"/>
          <w:sz w:val="24"/>
        </w:rPr>
        <w:t xml:space="preserve"> Las becas, ayudas económicas y programas de material escolar ayudan a reducir la carga financiera sobre las familias, facilitando el acceso a una educación de calidad.</w:t>
      </w:r>
    </w:p>
    <w:p w14:paraId="6B000000">
      <w:pPr>
        <w:numPr>
          <w:ilvl w:val="0"/>
          <w:numId w:val="23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Acceso a Recursos:</w:t>
      </w:r>
      <w:r>
        <w:rPr>
          <w:rFonts w:ascii="Times New Roman" w:hAnsi="Times New Roman"/>
          <w:sz w:val="24"/>
        </w:rPr>
        <w:t xml:space="preserve"> Los servicios como transporte y alimentación a bajo costo o gratuitos alivian los gastos asociados con la educación y permiten que los estudiantes se concentren en sus estudios sin preocupaciones económicas.</w:t>
      </w:r>
    </w:p>
    <w:p w14:paraId="6C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Ventajas Sociales:</w:t>
      </w:r>
    </w:p>
    <w:p w14:paraId="6D000000">
      <w:pPr>
        <w:numPr>
          <w:ilvl w:val="0"/>
          <w:numId w:val="24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Inclusión y Equidad:</w:t>
      </w:r>
      <w:r>
        <w:rPr>
          <w:rFonts w:ascii="Times New Roman" w:hAnsi="Times New Roman"/>
          <w:sz w:val="24"/>
        </w:rPr>
        <w:t xml:space="preserve"> Los servicios proporcionados ayudan a garantizar que todos los estudiantes, independientemente de su situación económica, tengan acceso a oportunidades educativas y sociales equitativas.</w:t>
      </w:r>
    </w:p>
    <w:p w14:paraId="6E000000">
      <w:pPr>
        <w:numPr>
          <w:ilvl w:val="0"/>
          <w:numId w:val="24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Cohesión Comunitaria:</w:t>
      </w:r>
      <w:r>
        <w:rPr>
          <w:rFonts w:ascii="Times New Roman" w:hAnsi="Times New Roman"/>
          <w:sz w:val="24"/>
        </w:rPr>
        <w:t xml:space="preserve"> Los programas de voluntariado, eventos culturales y actividades comunitarias fomentan la integración social y el fortalecimiento de los lazos entre estudiantes, familias y la comunidad en general.</w:t>
      </w:r>
    </w:p>
    <w:p w14:paraId="6F000000">
      <w:pPr>
        <w:numPr>
          <w:ilvl w:val="0"/>
          <w:numId w:val="24"/>
        </w:num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Apoyo y Solidaridad:</w:t>
      </w:r>
      <w:r>
        <w:rPr>
          <w:rFonts w:ascii="Times New Roman" w:hAnsi="Times New Roman"/>
          <w:sz w:val="24"/>
        </w:rPr>
        <w:t xml:space="preserve"> Los servicios de apoyo a familias y estudiantes en situaciones difíciles promueven un entorno de solidaridad y empatía, fortaleciendo el sentido de comunidad y colaboración.</w:t>
      </w:r>
    </w:p>
    <w:p w14:paraId="70000000">
      <w:pPr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resumen, los servicios prestados por una mutual escolar tienen un impacto significativo en la vida educativa, económica y social de los estudiantes y sus familias, promoviendo un entorno de apoyo integral que contribuye al desarrollo personal y académico, así como a la cohesión y bienestar de la comunidad educativa.</w:t>
      </w:r>
    </w:p>
    <w:p w14:paraId="71000000">
      <w:pPr>
        <w:ind/>
        <w:jc w:val="both"/>
        <w:rPr>
          <w:rFonts w:ascii="Aldine721 BT" w:hAnsi="Aldine721 BT"/>
          <w:b w:val="1"/>
          <w:i w:val="1"/>
          <w:color w:val="FF0000"/>
          <w:sz w:val="24"/>
        </w:rPr>
      </w:pPr>
    </w:p>
    <w:p w14:paraId="72000000">
      <w:pPr>
        <w:pStyle w:val="Style_2"/>
        <w:ind/>
        <w:jc w:val="both"/>
        <w:rPr>
          <w:rFonts w:ascii="Aldine721 BT" w:hAnsi="Aldine721 BT"/>
          <w:b w:val="1"/>
          <w:i w:val="1"/>
          <w:color w:val="FF0000"/>
          <w:sz w:val="24"/>
        </w:rPr>
      </w:pPr>
      <w:bookmarkStart w:id="1" w:name="_GoBack"/>
      <w:bookmarkEnd w:id="1"/>
    </w:p>
    <w:sectPr>
      <w:headerReference r:id="rId1" w:type="default"/>
      <w:pgSz w:h="16838" w:orient="portrait" w:w="11906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drawing>
        <wp:anchor allowOverlap="true" behindDoc="true" distB="0" distL="114300" distR="114300" distT="0" layoutInCell="true" locked="false" relativeHeight="251658240" simplePos="false">
          <wp:simplePos x="0" y="0"/>
          <wp:positionH relativeFrom="column">
            <wp:posOffset>-2041451</wp:posOffset>
          </wp:positionH>
          <wp:positionV relativeFrom="paragraph">
            <wp:posOffset>-1925128</wp:posOffset>
          </wp:positionV>
          <wp:extent cx="9848850" cy="13001625"/>
          <wp:effectExtent b="0" l="0" r="0" t="0"/>
          <wp:wrapNone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9848850" cy="130016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numPicBullet w:numPicBulletId="1">
    <w:pict>
      <v:shapetype coordsize="21600,21600" filled="f" id="_x0000_t75" o:preferrelative="t" o:spt="75" path="m@4@5l@4@11@9@11@9@5xe" stroked="f">
        <v:path gradientshapeok="t" o:connecttype="rect" o:extrusionok="f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stroke joinstyle="miter"/>
        <o:lock aspectratio="t" v:ext="edit"/>
      </v:shapetype>
      <v:shape style="width:363pt;height:375pt" type="#_x0000_t75">
        <v:imagedata o:title="Title" r:id="rId1"/>
      </v:shape>
    </w:pict>
  </w:numPicBullet>
  <w:numPicBullet w:numPicBulletId="2">
    <w:pict>
      <v:shape style="width:363pt;height:375pt" type="#_x0000_t75">
        <v:imagedata o:title="Title" r:id="rId1"/>
      </v:shape>
    </w:pict>
  </w:numPicBullet>
  <w:numPicBullet w:numPicBulletId="3">
    <w:pict>
      <v:shape style="width:363pt;height:375pt" type="#_x0000_t75">
        <v:imagedata o:title="Title" r:id="rId1"/>
      </v:shape>
    </w:pict>
  </w:numPicBullet>
  <w:numPicBullet w:numPicBulletId="4">
    <w:pict>
      <v:shape style="width:363pt;height:375pt" type="#_x0000_t75">
        <v:imagedata o:title="Title" r:id="rId1"/>
      </v:shape>
    </w:pict>
  </w:numPicBullet>
  <w:abstractNum w:abstractNumId="0">
    <w:lvl w:ilvl="0">
      <w:start w:val="1"/>
      <w:numFmt w:val="decimal"/>
      <w:lvlText w:val="%1-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"/>
      <w:lvlJc w:val="left"/>
      <w:pPr>
        <w:tabs>
          <w:tab w:leader="none" w:pos="928" w:val="left"/>
        </w:tabs>
        <w:ind w:hanging="360" w:left="928"/>
      </w:pPr>
      <w:rPr>
        <w:rFonts w:ascii="Wingdings" w:hAnsi="Wingdings"/>
        <w:color w:val="CC0099"/>
        <w:sz w:val="20"/>
      </w:r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"/>
      <w:lvlJc w:val="left"/>
      <w:pPr>
        <w:tabs>
          <w:tab w:leader="none" w:pos="928" w:val="left"/>
        </w:tabs>
        <w:ind w:hanging="360" w:left="928"/>
      </w:pPr>
      <w:rPr>
        <w:rFonts w:ascii="Wingdings" w:hAnsi="Wingdings"/>
        <w:color w:val="CC0099"/>
        <w:sz w:val="20"/>
      </w:r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"/>
      <w:lvlJc w:val="left"/>
      <w:pPr>
        <w:tabs>
          <w:tab w:leader="none" w:pos="928" w:val="left"/>
        </w:tabs>
        <w:ind w:hanging="360" w:left="928"/>
      </w:pPr>
      <w:rPr>
        <w:rFonts w:ascii="Wingdings" w:hAnsi="Wingdings"/>
        <w:color w:val="CC0099"/>
        <w:sz w:val="20"/>
      </w:r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"/>
      <w:lvlJc w:val="left"/>
      <w:pPr>
        <w:tabs>
          <w:tab w:leader="none" w:pos="928" w:val="left"/>
        </w:tabs>
        <w:ind w:hanging="360" w:left="928"/>
      </w:pPr>
      <w:rPr>
        <w:rFonts w:ascii="Wingdings" w:hAnsi="Wingdings"/>
        <w:color w:val="CC0099"/>
        <w:sz w:val="20"/>
      </w:r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"/>
      <w:lvlJc w:val="left"/>
      <w:pPr>
        <w:tabs>
          <w:tab w:leader="none" w:pos="928" w:val="left"/>
        </w:tabs>
        <w:ind w:hanging="360" w:left="928"/>
      </w:pPr>
      <w:rPr>
        <w:rFonts w:ascii="Wingdings" w:hAnsi="Wingdings"/>
        <w:color w:val="CC0099"/>
        <w:sz w:val="20"/>
      </w:r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PicBulletId w:val="1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PicBulletId w:val="2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PicBulletId w:val="3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PicBulletId w:val="4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footer"/>
    <w:basedOn w:val="Style_3"/>
    <w:link w:val="Style_12_ch"/>
    <w:pPr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2_ch" w:type="character">
    <w:name w:val="footer"/>
    <w:basedOn w:val="Style_3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" w:type="paragraph">
    <w:name w:val="List Paragraph"/>
    <w:basedOn w:val="Style_3"/>
    <w:link w:val="Style_2_ch"/>
    <w:pPr>
      <w:ind w:left="720"/>
      <w:contextualSpacing w:val="1"/>
    </w:pPr>
  </w:style>
  <w:style w:styleId="Style_2_ch" w:type="character">
    <w:name w:val="List Paragraph"/>
    <w:basedOn w:val="Style_3_ch"/>
    <w:link w:val="Style_2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_rels/header1.xml.rels><?xml version="1.0" encoding="UTF-8" standalone="no" ?>
<Relationships xmlns="http://schemas.openxmlformats.org/package/2006/relationships">
  <Relationship Id="rId1" Target="media/1.jpeg" Type="http://schemas.openxmlformats.org/officeDocument/2006/relationships/image"/>
</Relationships>

</file>

<file path=word/_rels/numbering.xml.rels><?xml version="1.0" encoding="UTF-8" standalone="no" ?>
<Relationships xmlns="http://schemas.openxmlformats.org/package/2006/relationships">
  <Relationship Id="rId1" Target="media/2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2024-08-30T17:45:02Z</dcterms:modified>
</cp:coreProperties>
</file>