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ffffff"/>
          <w:sz w:val="24"/>
          <w:szCs w:val="24"/>
          <w:highlight w:val="black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Instructivo Cooperativismo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both"/>
        <w:rPr>
          <w:color w:val="ffffff"/>
          <w:sz w:val="24"/>
          <w:szCs w:val="2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Primer paso:</w:t>
      </w:r>
      <w:r w:rsidDel="00000000" w:rsidR="00000000" w:rsidRPr="00000000">
        <w:rPr>
          <w:sz w:val="24"/>
          <w:szCs w:val="24"/>
          <w:rtl w:val="0"/>
        </w:rPr>
        <w:t xml:space="preserve"> Conformación del acta constitutiva y pedido de personería a la Dirección de Inclusión. (modelos en el drive -acta y nota-)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Segundo paso:</w:t>
      </w:r>
      <w:r w:rsidDel="00000000" w:rsidR="00000000" w:rsidRPr="00000000">
        <w:rPr>
          <w:sz w:val="24"/>
          <w:szCs w:val="24"/>
          <w:rtl w:val="0"/>
        </w:rPr>
        <w:t xml:space="preserve"> Creación del proyecto pedagógico y comunitario con TODOS los componentes requeridos. (modelo en el drive)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ELEVAR A REGIONAL y enviar el nro de trámite al personal de cooperativismo para su seguimiento.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Una vez tenga el visto bueno el proyecto del área que evalúa y de la regional, recién debe seguir. (se ocupa el personal de hacer el proceso y seguimiento)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Paso tres: PRESUPUESTO </w:t>
      </w:r>
      <w:r w:rsidDel="00000000" w:rsidR="00000000" w:rsidRPr="00000000">
        <w:rPr>
          <w:sz w:val="24"/>
          <w:szCs w:val="24"/>
          <w:rtl w:val="0"/>
        </w:rPr>
        <w:t xml:space="preserve">deberán conseguir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Dos presupuestos de casas comerciales que cuenten con registro ante AFIP (cuit registrado) y dirigido al Ministerio de Educación, Cultura y Tecnología -MECCYT- CUIT</w:t>
      </w:r>
      <w:r w:rsidDel="00000000" w:rsidR="00000000" w:rsidRPr="00000000">
        <w:rPr>
          <w:b w:val="1"/>
          <w:sz w:val="24"/>
          <w:szCs w:val="24"/>
          <w:rtl w:val="0"/>
        </w:rPr>
        <w:t xml:space="preserve"> 39-99925978-9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Facturas firmadas y selladas por el directivo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Planilla centralizadora de presupuesto firmada y sellada (modelo en drive)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Nota elevando o en el caso de no conseguir todos los elementos en ambos casas, aclarando el motivo (ej: no hay más casas comerciales que cuenten con todos los elementos a financiar) 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vez hayan cumplido todos estos requisitos el personal se estará comunicando para avisar cómo avanza el trámite. Posterior al financiamiento (30 días): 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Paso cuatro:</w:t>
      </w:r>
      <w:r w:rsidDel="00000000" w:rsidR="00000000" w:rsidRPr="00000000">
        <w:rPr>
          <w:sz w:val="24"/>
          <w:szCs w:val="24"/>
          <w:rtl w:val="0"/>
        </w:rPr>
        <w:t xml:space="preserve"> Control y monitoreo del presupuesto financiado.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Completar planilla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Presentar facturas de compras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  <w:color w:val="00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correo del programa: </w:t>
      </w: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meccytasociativismoesc@gmail.com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  <w:color w:val="0000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correo de la dirección: </w:t>
      </w:r>
      <w:r w:rsidDel="00000000" w:rsidR="00000000" w:rsidRPr="00000000">
        <w:rPr>
          <w:rFonts w:ascii="Roboto" w:cs="Roboto" w:eastAsia="Roboto" w:hAnsi="Roboto"/>
          <w:color w:val="0000ff"/>
          <w:sz w:val="24"/>
          <w:szCs w:val="24"/>
          <w:rtl w:val="0"/>
        </w:rPr>
        <w:t xml:space="preserve">meccyt.dginclusion@chaco.gob.ar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leader="none" w:pos="7143"/>
        <w:tab w:val="right" w:leader="none" w:pos="14287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3500438" cy="5872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0438" cy="5872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