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bottom w:color="000000" w:space="1" w:sz="4" w:val="single"/>
        </w:pBdr>
        <w:tabs>
          <w:tab w:val="left" w:leader="none" w:pos="9048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4" w:val="single"/>
        </w:pBdr>
        <w:tabs>
          <w:tab w:val="left" w:leader="none" w:pos="9048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4" w:val="single"/>
        </w:pBdr>
        <w:tabs>
          <w:tab w:val="left" w:leader="none" w:pos="9048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PLANIFICACIÓN DIDÁCTICA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4" w:val="single"/>
        </w:pBdr>
        <w:tabs>
          <w:tab w:val="left" w:leader="none" w:pos="904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4" w:val="single"/>
        </w:pBdr>
        <w:shd w:fill="ededed" w:val="clear"/>
        <w:tabs>
          <w:tab w:val="left" w:leader="none" w:pos="904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1. IDENTIFICACIÓN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02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1034"/>
        <w:gridCol w:w="242"/>
        <w:gridCol w:w="851"/>
        <w:gridCol w:w="283"/>
        <w:gridCol w:w="1589"/>
        <w:gridCol w:w="254"/>
        <w:gridCol w:w="1370"/>
        <w:tblGridChange w:id="0">
          <w:tblGrid>
            <w:gridCol w:w="3397"/>
            <w:gridCol w:w="1034"/>
            <w:gridCol w:w="242"/>
            <w:gridCol w:w="851"/>
            <w:gridCol w:w="283"/>
            <w:gridCol w:w="1589"/>
            <w:gridCol w:w="254"/>
            <w:gridCol w:w="13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bookmarkStart w:colFirst="0" w:colLast="0" w:name="_heading=h.ow6v69lvkh05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Tecnicatura en Administración Municipal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Espacio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Psicología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Año en que se dicta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2º 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Prof. responsable (nombre y apellido)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Elías  Moisés Aguirre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Título de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Profesor en Psicología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Email/teléfono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eliasaguirre217@gmail.com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3624774703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Período lectivo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2do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Cuatrimestre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Anual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482599</wp:posOffset>
                      </wp:positionH>
                      <wp:positionV relativeFrom="paragraph">
                        <wp:posOffset>-12699</wp:posOffset>
                      </wp:positionV>
                      <wp:extent cx="0" cy="2952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2363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482599</wp:posOffset>
                      </wp:positionH>
                      <wp:positionV relativeFrom="paragraph">
                        <wp:posOffset>-12699</wp:posOffset>
                      </wp:positionV>
                      <wp:extent cx="0" cy="2952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2. FUNDAMENTACIÓN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 psicología es central para comprender el contexto en donde se trabaja con diferentes sujetos, grupos de trabajos, equipos, ya que brinda las herramientas necesarias para el intercambio armónico de opiniones y la producción de proyectos para el bien común de las comunidades.  El campo de la psicología institucional permite abrazar la evolución de los  sujetos y de las dinámicas grupales y de los roles sociales.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 OBJETIVOS </w:t>
      </w: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Entender, interpretar e incidir en todo lo que conlleva la consolidación de la vida institucional.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Comprender el papel de las instituciones en el proceso de subjetivación.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Reconocer el objeto de estudio de la Psicología Institucional como un objeto histórico a construir con aportes de diferentes corrientes científicas.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 los ejes conceptuales seleccionados por el espacio  para el análisis de las organizaciones/ instituciones.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 CAPACIDADES</w:t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Capacidades/aprendizajes: siguiendo a Tobón (2010) las capacidades son actuaciones integrales que desarrolla el sujeto ante diferentes actividades y problemas del contexto, con idoneidad y compromiso ético, integrando el saber ser (actitudes y valores) el saber hacer (habilidades, destrezas, etc.) y el saber conocer (conceptos y teorías) en una perspectiva de mejora continua. </w:t>
      </w:r>
    </w:p>
    <w:p w:rsidR="00000000" w:rsidDel="00000000" w:rsidP="00000000" w:rsidRDefault="00000000" w:rsidRPr="00000000" w14:paraId="00000056">
      <w:pPr>
        <w:pBdr>
          <w:bottom w:color="000000" w:space="0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5. CONTENIDOS ESPECÍFICOS</w:t>
      </w: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Ejemplo: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Eje temático 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 Qué es la Psicología Institucional?. La institución como objeto de estudio. Diferencia entre institución y organización. El Estado como institución. La Institución de la sociedad y de la religión.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Eje temático II: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Análisis institucional.Lo institucional. Relación entre institución y subjetividad.  ¿Qué es la intervención Institucional?.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Eje temático III: La Psicología Institucional como una perspectiva de conocimiento.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Eje temático IV: La institución, capitalismo y tecnología.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Eje temático V:La Pertinencia de la noción de Cultura en la Psicología Institucional. Noción de cultura organizacional. La institución y las representaciones sociales.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0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6. ACTIVIDADES INTER-CÁTEDRAS, INTER-INSTITUCIONALES Y SALIDAS DE CAMPO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 caso de corresponder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).  Resumir en qué consistirá la/ las actividad/es que se planifiquen.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7. ESTRATEGIAS DIDÁCTICAS</w:t>
      </w: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Exposición dialogada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Estudios de casos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Resolución de problemas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Análisis de discursos de diferentes referentes políticos y sociales.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Trabajar con ejemplos de la vida cotidiana.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80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8. EVALUACIÓN: INSTRUMENTOS Y CRITERIOS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Instrumentos de evaluación.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Evaluaciones escritas y orales.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Presentaciones escritas de trabajos prácticos, individuales y grupales.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Resolución y envío de actividades por Internet.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Defensa oral de trabajos prácticos.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Criterios de evaluación.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Participación activa y pertinente en las clases.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Entrega de trabajos en tiempo y forma.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Conocimiento profundo de los contenidos desarrollados en clase.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del vocabulario específico de la materia.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Expresión oral y escrita pertinente.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Respeto hacia la opinión diferente.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Estricta observancia del reglamento interno de la institución.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Asistencia al 75% de las clases.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aprobación de dos parciales.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Aprobación del examen final ( en caso de no promocionar el espacio)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9. RECURSOS</w:t>
      </w: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Pizarrón- tizas.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Computadoras personales.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Bibliografía digitalizada.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Cuadernillo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10. CRONOGRAMA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CUATRIMESTRAL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Organización Cronológica del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7"/>
        <w:gridCol w:w="1944"/>
        <w:gridCol w:w="1196"/>
        <w:gridCol w:w="2092"/>
        <w:gridCol w:w="1965"/>
        <w:tblGridChange w:id="0">
          <w:tblGrid>
            <w:gridCol w:w="1857"/>
            <w:gridCol w:w="1944"/>
            <w:gridCol w:w="1196"/>
            <w:gridCol w:w="2092"/>
            <w:gridCol w:w="196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ededed" w:val="clear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Clase/semana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Eje Temático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Contenido/s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Tema práctico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bottom w:color="000000" w:space="1" w:sz="4" w:val="single"/>
        </w:pBdr>
        <w:shd w:fill="ededed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11.  BIBLIOGRAFÍA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Bibliografía según Eje Temático. (actualizada)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Eje I: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Bleger J. (1966). Psicohigiene y Psicología Institucional. Buenos Aires: Paidós (Cap. II, pp. 45-101)</w:t>
      </w:r>
    </w:p>
    <w:p w:rsidR="00000000" w:rsidDel="00000000" w:rsidP="00000000" w:rsidRDefault="00000000" w:rsidRPr="00000000" w14:paraId="000000B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Schvarstein, L. (1991) Psicología social de las organizaciones. Buenos Aires: Paidós (Cap. I).</w:t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Bourdieu, P ( 2014). Sobre el Estado. Curso en el Collage de France (1989-1992).Barcelona: Anagrama.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Castoriadis, C. (1988). Prefacio y lo imaginario. La creación en el dominio histórico social. En los dominios del hombre, las encrucijadas del laberinto. Barcelona: Gedisa.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Eje II:  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Lourau, R. (1991). Hacia la intervención Socioanalítica. En El análisis institucional (pp.262-285). Buenos Aires: Amorrortu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Mendel, G (1973). El sociopsicoanálisis- La Intervención Institucional. Buenos Aires: Amorrortu Editores.</w:t>
      </w:r>
    </w:p>
    <w:p w:rsidR="00000000" w:rsidDel="00000000" w:rsidP="00000000" w:rsidRDefault="00000000" w:rsidRPr="00000000" w14:paraId="000000C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Enriquez, E. (2003). El análisis clínico en ciencias humanas. En J. Barceló (Comp.), Sociología Clínica (pp. 25-35). Montevideo: Universidad de la República.</w:t>
      </w:r>
    </w:p>
    <w:p w:rsidR="00000000" w:rsidDel="00000000" w:rsidP="00000000" w:rsidRDefault="00000000" w:rsidRPr="00000000" w14:paraId="000000C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Souto, M. (2008, agosto). Una mirada desde la Psicosociología y la clínica. Ponencia presentada en el Primer Congreso Nacional de Psicosociología Institucional. La Intervención, la Investigación y la Formación, San Luis, Argentina.</w:t>
      </w:r>
    </w:p>
    <w:p w:rsidR="00000000" w:rsidDel="00000000" w:rsidP="00000000" w:rsidRDefault="00000000" w:rsidRPr="00000000" w14:paraId="000000C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Schejter, V. (2005). ¿Qué es la intervención institucional? La Psicología Institucional como perspectiva de conocimiento. Clepios, 38, 105-107. 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Eje III: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Rhéaume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J. (2003). Dimensiones epistemológicas de las relaciones entre teoría y práctica. En J. Barceló (Comp.), Sociología Clínica (pp. 45-53). Montevideo: Universidad de la República.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Eje IV: </w:t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Subjetividades en Empresas Recuperadas-Ya no somos extraños- Artículo página 12 del 25 de mayo de 2006.</w:t>
      </w:r>
    </w:p>
    <w:p w:rsidR="00000000" w:rsidDel="00000000" w:rsidP="00000000" w:rsidRDefault="00000000" w:rsidRPr="00000000" w14:paraId="000000E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Augé M. (1998). Los “no lugares” Espacios del anonimato. Barcelona: Gedisa.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Alemán, J. (2016). Capitalismo y subjetividad. En Página/12. Obtenido de: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https://www.pagina12.com.ar/diario/elpais/1-297662-2016-04-23.html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Eje V: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Gontá T. ( 2006). La importancia de los mitos para la Psicología Institucional. Departamento de Publicaciones, Facultad de Psicología, UBA.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Malfé , R.-(1982). “Pertinencia y Actualidad de la noción de “Cultura” para la Psicología Institucional- Trabajo presentado para Concurso de Cátedra-UBA.</w:t>
      </w:r>
    </w:p>
    <w:p w:rsidR="00000000" w:rsidDel="00000000" w:rsidP="00000000" w:rsidRDefault="00000000" w:rsidRPr="00000000" w14:paraId="000000E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-306704</wp:posOffset>
          </wp:positionV>
          <wp:extent cx="2286000" cy="934085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4Car">
    <w:name w:val="Título 4 Car"/>
    <w:next w:val="Título4C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mbre">
    <w:name w:val="Nombre"/>
    <w:basedOn w:val="Normal"/>
    <w:next w:val="Normal"/>
    <w:autoRedefine w:val="0"/>
    <w:hidden w:val="0"/>
    <w:qFormat w:val="0"/>
    <w:pPr>
      <w:pBdr>
        <w:bottom w:color="auto" w:space="4" w:sz="6" w:val="single"/>
      </w:pBdr>
      <w:suppressAutoHyphens w:val="1"/>
      <w:spacing w:after="440" w:line="240" w:lineRule="atLeast"/>
      <w:ind w:left="-2160" w:leftChars="-1" w:rightChars="0" w:firstLineChars="-1"/>
      <w:textDirection w:val="btLr"/>
      <w:textAlignment w:val="top"/>
      <w:outlineLvl w:val="0"/>
    </w:pPr>
    <w:rPr>
      <w:rFonts w:ascii="Arial Black" w:eastAsia="Times New Roman" w:hAnsi="Arial Black"/>
      <w:b w:val="1"/>
      <w:spacing w:val="-35"/>
      <w:w w:val="100"/>
      <w:position w:val="-1"/>
      <w:sz w:val="5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negrobold1">
    <w:name w:val="textonegrobold1"/>
    <w:next w:val="textonegrobold1"/>
    <w:autoRedefine w:val="0"/>
    <w:hidden w:val="0"/>
    <w:qFormat w:val="0"/>
    <w:rPr>
      <w:rFonts w:ascii="Verdana" w:cs="Times New Roman" w:hAnsi="Verdana"/>
      <w:b w:val="1"/>
      <w:bCs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pagina12.com.ar/diario/elpais/1-297662-2016-04-23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iasaguirre217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cX7Desv4kSV7I1Qj5m61A69L9A==">AMUW2mUn3rxOQsigBI+tugH6Zq/MJ6x9j7w1aAEZ8KvSJsFmUg6GBImd/A7YDaYWiO69wkX5jIsa8eHHNwlfPZz2tf9vA8rFI3yNcACkyaeXNNnHNvGYG3xbqGHrB+y9xKVxVL8H1jl0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2023-03-01T23:48:00Z</dcterms:created>
  <dc:creator>INSTITUTO BARRANQUERAS</dc:creator>
</cp:coreProperties>
</file>