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770470" cy="154076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470" cy="1540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177800</wp:posOffset>
                </wp:positionV>
                <wp:extent cx="2579370" cy="15303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2579370" cy="1530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.999999523162842" w:right="0" w:firstLine="27.99999952316284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  <w:t xml:space="preserve">Tecnicatura Superior 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.999999523162842" w:right="0" w:firstLine="27.99999952316284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2"/>
                                <w:vertAlign w:val="baseline"/>
                              </w:rPr>
                              <w:t xml:space="preserve">Gestión y Administración Municipal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177800</wp:posOffset>
                </wp:positionV>
                <wp:extent cx="2579370" cy="153035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370" cy="153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Style w:val="Title"/>
        <w:ind w:firstLine="4742"/>
        <w:rPr/>
      </w:pPr>
      <w:r w:rsidDel="00000000" w:rsidR="00000000" w:rsidRPr="00000000">
        <w:rPr>
          <w:rtl w:val="0"/>
        </w:rPr>
        <w:t xml:space="preserve">CICLO LECTIVO 2022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Asignatura: Planificación Estratégica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100330</wp:posOffset>
            </wp:positionH>
            <wp:positionV relativeFrom="paragraph">
              <wp:posOffset>-3836031</wp:posOffset>
            </wp:positionV>
            <wp:extent cx="2795270" cy="5704482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57044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Duración: cuatrimestral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 de Cátedra: Lic. Belén Azcona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474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04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Julio, 2022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Planificación Estratégica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Recuperatorio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hd w:fill="ffffff" w:val="clear"/>
        <w:spacing w:after="0" w:before="280" w:line="360" w:lineRule="auto"/>
        <w:ind w:left="720" w:hanging="360"/>
        <w:rPr>
          <w:rFonts w:ascii="Arial" w:cs="Arial" w:eastAsia="Arial" w:hAnsi="Arial"/>
          <w:color w:val="1d212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2125"/>
          <w:sz w:val="23"/>
          <w:szCs w:val="23"/>
          <w:rtl w:val="0"/>
        </w:rPr>
        <w:t xml:space="preserve">Mencione un ejemplo de cada tipo de planificación según el documento de la CLACSO sobre Planeamiento estratégico, facilitado en el aula virtual.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rFonts w:ascii="Arial" w:cs="Arial" w:eastAsia="Arial" w:hAnsi="Arial"/>
          <w:color w:val="1d212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2125"/>
          <w:sz w:val="23"/>
          <w:szCs w:val="23"/>
          <w:rtl w:val="0"/>
        </w:rPr>
        <w:t xml:space="preserve">Trasladando esas herramientas al ámbito de la administración pública, ¿cuál es la importancia que le adjudica a cada una?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rFonts w:ascii="Arial" w:cs="Arial" w:eastAsia="Arial" w:hAnsi="Arial"/>
          <w:color w:val="1d212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2125"/>
          <w:sz w:val="23"/>
          <w:szCs w:val="23"/>
          <w:rtl w:val="0"/>
        </w:rPr>
        <w:t xml:space="preserve">En un proceso de planificación, ¿Quiénes son los actores y cuáles son los roles que pueden diferenciarse?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hd w:fill="ffffff" w:val="clear"/>
        <w:spacing w:after="280" w:before="0" w:line="360" w:lineRule="auto"/>
        <w:ind w:left="720" w:hanging="360"/>
        <w:rPr>
          <w:rFonts w:ascii="Arial" w:cs="Arial" w:eastAsia="Arial" w:hAnsi="Arial"/>
          <w:color w:val="1d212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d2125"/>
          <w:sz w:val="23"/>
          <w:szCs w:val="23"/>
          <w:rtl w:val="0"/>
        </w:rPr>
        <w:t xml:space="preserve">¿Cómo condiciona el contexto a la toma de decisiones dentro de la planificación?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360" w:lineRule="auto"/>
        <w:ind w:left="242" w:right="3517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700" w:top="2040" w:left="1460" w:right="1280" w:header="720" w:footer="5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MT"/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165100</wp:posOffset>
              </wp:positionV>
              <wp:extent cx="5360670" cy="438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0" y="0"/>
                        <a:ext cx="5360670" cy="43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165100</wp:posOffset>
              </wp:positionV>
              <wp:extent cx="5360670" cy="438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0670" cy="43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0</wp:posOffset>
              </wp:positionV>
              <wp:extent cx="5360670" cy="177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0" y="0"/>
                        <a:ext cx="5360670" cy="177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0</wp:posOffset>
              </wp:positionV>
              <wp:extent cx="5360670" cy="177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0670" cy="17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12700</wp:posOffset>
              </wp:positionV>
              <wp:extent cx="796925" cy="152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Página  PAGE 2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12700</wp:posOffset>
              </wp:positionV>
              <wp:extent cx="796925" cy="1524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6925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1076325</wp:posOffset>
          </wp:positionH>
          <wp:positionV relativeFrom="page">
            <wp:posOffset>456565</wp:posOffset>
          </wp:positionV>
          <wp:extent cx="2052049" cy="84137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049" cy="841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44" w:hanging="445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946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42"/>
      <w:jc w:val="both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4">
    <w:name w:val="heading 4"/>
    <w:basedOn w:val="Normal"/>
    <w:next w:val="Normal"/>
    <w:pPr>
      <w:ind w:left="4742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93" w:lineRule="auto"/>
      <w:ind w:left="4742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