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02" w:rsidRDefault="00EE6402" w:rsidP="00EE6402">
      <w:r w:rsidRPr="00EE6402">
        <w:rPr>
          <w:rFonts w:ascii="Arial" w:eastAsia="Calibri" w:hAnsi="Arial" w:cs="Arial"/>
          <w:b/>
          <w:noProof/>
          <w:sz w:val="24"/>
          <w:szCs w:val="24"/>
          <w:lang w:eastAsia="es-AR"/>
        </w:rPr>
        <w:drawing>
          <wp:anchor distT="0" distB="0" distL="114300" distR="114300" simplePos="0" relativeHeight="251659264" behindDoc="1" locked="0" layoutInCell="1" allowOverlap="1" wp14:anchorId="551D5716" wp14:editId="61A2D56F">
            <wp:simplePos x="0" y="0"/>
            <wp:positionH relativeFrom="column">
              <wp:posOffset>-873125</wp:posOffset>
            </wp:positionH>
            <wp:positionV relativeFrom="paragraph">
              <wp:posOffset>-2330396</wp:posOffset>
            </wp:positionV>
            <wp:extent cx="7019925" cy="29241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6" cstate="print">
                      <a:extLst>
                        <a:ext uri="{28A0092B-C50C-407E-A947-70E740481C1C}">
                          <a14:useLocalDpi xmlns:a14="http://schemas.microsoft.com/office/drawing/2010/main" val="0"/>
                        </a:ext>
                      </a:extLst>
                    </a:blip>
                    <a:srcRect t="2736"/>
                    <a:stretch/>
                  </pic:blipFill>
                  <pic:spPr bwMode="auto">
                    <a:xfrm>
                      <a:off x="0" y="0"/>
                      <a:ext cx="7019925" cy="2924175"/>
                    </a:xfrm>
                    <a:prstGeom prst="rect">
                      <a:avLst/>
                    </a:prstGeom>
                    <a:ln>
                      <a:noFill/>
                    </a:ln>
                    <a:extLst>
                      <a:ext uri="{53640926-AAD7-44D8-BBD7-CCE9431645EC}">
                        <a14:shadowObscured xmlns:a14="http://schemas.microsoft.com/office/drawing/2010/main"/>
                      </a:ext>
                    </a:extLst>
                  </pic:spPr>
                </pic:pic>
              </a:graphicData>
            </a:graphic>
          </wp:anchor>
        </w:drawing>
      </w:r>
    </w:p>
    <w:p w:rsidR="00EE6402" w:rsidRPr="00EE6402" w:rsidRDefault="00EE6402" w:rsidP="00EE6402"/>
    <w:p w:rsidR="00EE6402" w:rsidRPr="007A3C10" w:rsidRDefault="00EE6402" w:rsidP="007A3C10">
      <w:pPr>
        <w:jc w:val="center"/>
        <w:rPr>
          <w:rFonts w:ascii="MS PGothic" w:eastAsia="MS PGothic" w:hAnsi="MS PGothic" w:cs="Times New Roman"/>
          <w:b/>
          <w:sz w:val="44"/>
          <w:szCs w:val="44"/>
          <w:u w:val="double"/>
        </w:rPr>
      </w:pPr>
      <w:r w:rsidRPr="007A3C10">
        <w:rPr>
          <w:rFonts w:ascii="MS PGothic" w:eastAsia="MS PGothic" w:hAnsi="MS PGothic" w:cs="Arial"/>
          <w:b/>
          <w:sz w:val="44"/>
          <w:szCs w:val="44"/>
          <w:u w:val="double"/>
        </w:rPr>
        <w:t xml:space="preserve"> Fisiología.</w:t>
      </w:r>
    </w:p>
    <w:p w:rsidR="00EE6402" w:rsidRPr="00EE6402" w:rsidRDefault="00EE6402" w:rsidP="00EE6402">
      <w:pPr>
        <w:jc w:val="center"/>
        <w:rPr>
          <w:rFonts w:ascii="MS PGothic" w:eastAsia="MS PGothic" w:hAnsi="MS PGothic" w:cs="Times New Roman"/>
          <w:b/>
          <w:sz w:val="32"/>
          <w:szCs w:val="32"/>
          <w:u w:val="double"/>
        </w:rPr>
      </w:pPr>
      <w:r w:rsidRPr="00EE6402">
        <w:rPr>
          <w:rFonts w:ascii="MS PGothic" w:eastAsia="MS PGothic" w:hAnsi="MS PGothic" w:cs="Arial"/>
          <w:b/>
          <w:sz w:val="32"/>
          <w:szCs w:val="32"/>
          <w:u w:val="double"/>
        </w:rPr>
        <w:t>APUNTES</w:t>
      </w:r>
    </w:p>
    <w:p w:rsidR="00EE6402" w:rsidRPr="00EE6402" w:rsidRDefault="00EE6402" w:rsidP="00EE6402">
      <w:pPr>
        <w:jc w:val="both"/>
        <w:rPr>
          <w:rFonts w:ascii="MS PGothic" w:eastAsia="MS PGothic" w:hAnsi="MS PGothic" w:cs="Times New Roman"/>
          <w:b/>
          <w:i/>
          <w:sz w:val="32"/>
          <w:szCs w:val="32"/>
        </w:rPr>
      </w:pPr>
      <w:r w:rsidRPr="00EE6402">
        <w:rPr>
          <w:rFonts w:ascii="MS PGothic" w:eastAsia="MS PGothic" w:hAnsi="MS PGothic" w:cs="Times New Roman"/>
          <w:b/>
          <w:i/>
          <w:sz w:val="32"/>
          <w:szCs w:val="32"/>
        </w:rPr>
        <w:t xml:space="preserve">Profesor:   </w:t>
      </w:r>
      <w:r w:rsidRPr="00EE6402">
        <w:rPr>
          <w:rFonts w:ascii="MS PGothic" w:eastAsia="MS PGothic" w:hAnsi="MS PGothic" w:cs="Arial"/>
          <w:b/>
          <w:i/>
          <w:sz w:val="32"/>
          <w:szCs w:val="32"/>
        </w:rPr>
        <w:t>Licenciado Gustavo Jesús Ramírez.</w:t>
      </w:r>
      <w:bookmarkStart w:id="0" w:name="_GoBack"/>
      <w:bookmarkEnd w:id="0"/>
    </w:p>
    <w:p w:rsidR="00EE6402" w:rsidRPr="00EE6402" w:rsidRDefault="00EE6402" w:rsidP="00EE6402">
      <w:pPr>
        <w:jc w:val="both"/>
        <w:rPr>
          <w:rFonts w:ascii="MS PGothic" w:eastAsia="MS PGothic" w:hAnsi="MS PGothic" w:cs="Arial"/>
          <w:b/>
          <w:sz w:val="32"/>
          <w:szCs w:val="32"/>
        </w:rPr>
      </w:pPr>
      <w:r w:rsidRPr="00EE6402">
        <w:rPr>
          <w:rFonts w:ascii="MS PGothic" w:eastAsia="MS PGothic" w:hAnsi="MS PGothic" w:cs="Times New Roman"/>
          <w:b/>
          <w:i/>
          <w:sz w:val="32"/>
          <w:szCs w:val="32"/>
        </w:rPr>
        <w:t xml:space="preserve">Año:   </w:t>
      </w:r>
      <w:r w:rsidRPr="00EE6402">
        <w:rPr>
          <w:rFonts w:ascii="MS PGothic" w:eastAsia="MS PGothic" w:hAnsi="MS PGothic" w:cs="Arial"/>
          <w:b/>
          <w:sz w:val="32"/>
          <w:szCs w:val="32"/>
        </w:rPr>
        <w:t>2026.</w:t>
      </w:r>
    </w:p>
    <w:p w:rsidR="00832007" w:rsidRPr="00EE6402" w:rsidRDefault="00EE6402" w:rsidP="00EE6402">
      <w:pPr>
        <w:spacing w:before="100" w:beforeAutospacing="1" w:after="100" w:afterAutospacing="1" w:line="240" w:lineRule="auto"/>
        <w:jc w:val="center"/>
        <w:rPr>
          <w:rFonts w:ascii="Arial" w:eastAsia="Calibri" w:hAnsi="Arial" w:cs="Arial"/>
          <w:b/>
          <w:sz w:val="28"/>
          <w:szCs w:val="28"/>
        </w:rPr>
      </w:pPr>
      <w:r w:rsidRPr="00EE6402">
        <w:rPr>
          <w:rFonts w:ascii="Arial" w:eastAsia="Calibri" w:hAnsi="Arial" w:cs="Arial"/>
          <w:b/>
          <w:sz w:val="28"/>
          <w:szCs w:val="28"/>
        </w:rPr>
        <w:t>&lt;&gt;&lt;&gt;&lt;&gt;&lt;&gt;&lt;&gt;&lt;&gt;&lt;&gt;&lt;&gt;&lt;&gt;&lt;&gt;&lt;&gt;&lt;&gt;&lt;&gt;&lt;&gt;&lt;&gt;&lt;&gt;&lt;&gt;&lt;&gt;&lt;&gt;&lt;&gt;&lt;&gt;</w:t>
      </w:r>
    </w:p>
    <w:p w:rsidR="00832007" w:rsidRPr="00613C2C" w:rsidRDefault="00832007" w:rsidP="00832007">
      <w:pPr>
        <w:jc w:val="center"/>
        <w:rPr>
          <w:rFonts w:ascii="Blackadder ITC" w:hAnsi="Blackadder ITC"/>
          <w:b/>
          <w:sz w:val="44"/>
          <w:szCs w:val="44"/>
          <w:u w:val="wavyHeavy" w:color="FFFF00"/>
        </w:rPr>
      </w:pPr>
      <w:r w:rsidRPr="00613C2C">
        <w:rPr>
          <w:rFonts w:ascii="Blackadder ITC" w:hAnsi="Blackadder ITC"/>
          <w:b/>
          <w:sz w:val="96"/>
          <w:szCs w:val="96"/>
          <w:u w:val="wavyHeavy" w:color="FFFF00"/>
        </w:rPr>
        <w:t>F</w:t>
      </w:r>
      <w:r w:rsidRPr="00613C2C">
        <w:rPr>
          <w:rFonts w:ascii="Blackadder ITC" w:hAnsi="Blackadder ITC"/>
          <w:b/>
          <w:color w:val="984806" w:themeColor="accent6" w:themeShade="80"/>
          <w:sz w:val="72"/>
          <w:szCs w:val="72"/>
          <w:u w:val="wavyHeavy" w:color="FFFF00"/>
        </w:rPr>
        <w:t>uncion</w:t>
      </w:r>
      <w:r w:rsidRPr="00613C2C">
        <w:rPr>
          <w:rFonts w:ascii="Blackadder ITC" w:hAnsi="Blackadder ITC"/>
          <w:b/>
          <w:sz w:val="72"/>
          <w:szCs w:val="72"/>
          <w:u w:val="wavyHeavy" w:color="FFFF00"/>
        </w:rPr>
        <w:t xml:space="preserve"> </w:t>
      </w:r>
      <w:r w:rsidRPr="00613C2C">
        <w:rPr>
          <w:rFonts w:ascii="Blackadder ITC" w:hAnsi="Blackadder ITC"/>
          <w:b/>
          <w:sz w:val="44"/>
          <w:szCs w:val="44"/>
          <w:u w:val="wavyHeavy" w:color="FFFF00"/>
        </w:rPr>
        <w:t xml:space="preserve">   </w:t>
      </w:r>
      <w:r w:rsidRPr="00613C2C">
        <w:rPr>
          <w:rFonts w:ascii="Blackadder ITC" w:hAnsi="Blackadder ITC"/>
          <w:b/>
          <w:sz w:val="96"/>
          <w:szCs w:val="96"/>
          <w:u w:val="wavyHeavy" w:color="FFFF00"/>
        </w:rPr>
        <w:t>B</w:t>
      </w:r>
      <w:r w:rsidRPr="00613C2C">
        <w:rPr>
          <w:rFonts w:ascii="Blackadder ITC" w:hAnsi="Blackadder ITC"/>
          <w:b/>
          <w:color w:val="984806" w:themeColor="accent6" w:themeShade="80"/>
          <w:sz w:val="72"/>
          <w:szCs w:val="72"/>
          <w:u w:val="wavyHeavy" w:color="FFFF00"/>
        </w:rPr>
        <w:t>iliar</w:t>
      </w:r>
    </w:p>
    <w:p w:rsidR="00EE6402" w:rsidRDefault="00832007" w:rsidP="00EE6402">
      <w:pPr>
        <w:jc w:val="both"/>
        <w:rPr>
          <w:rFonts w:ascii="Arial" w:hAnsi="Arial" w:cs="Arial"/>
          <w:b/>
          <w:sz w:val="24"/>
          <w:szCs w:val="24"/>
        </w:rPr>
      </w:pPr>
      <w:r w:rsidRPr="00EE6402">
        <w:rPr>
          <w:rFonts w:ascii="Arial" w:hAnsi="Arial" w:cs="Arial"/>
          <w:b/>
          <w:sz w:val="24"/>
          <w:szCs w:val="24"/>
        </w:rPr>
        <w:t>El hígado produce alrededor de 500 a 600 m</w:t>
      </w:r>
      <w:r w:rsidR="00EE6402">
        <w:rPr>
          <w:rFonts w:ascii="Arial" w:hAnsi="Arial" w:cs="Arial"/>
          <w:b/>
          <w:sz w:val="24"/>
          <w:szCs w:val="24"/>
        </w:rPr>
        <w:t xml:space="preserve">L de bilis por día y está compuesta </w:t>
      </w:r>
      <w:r w:rsidRPr="00EE6402">
        <w:rPr>
          <w:rFonts w:ascii="Arial" w:hAnsi="Arial" w:cs="Arial"/>
          <w:b/>
          <w:sz w:val="24"/>
          <w:szCs w:val="24"/>
        </w:rPr>
        <w:t xml:space="preserve"> por agua y electrolitos, pero también por compuestos orgánicos: sales biliares, fosfolípidos (en particular lecitina), colesterol, bilirrubina y otros productos endógenos o compuestos ingeridos, como por ejemplo proteínas que regulan la función gastrointestinal y fármacos o sus metabolitos. </w:t>
      </w:r>
    </w:p>
    <w:p w:rsidR="00FA4C74" w:rsidRDefault="00EE6402" w:rsidP="00EE6402">
      <w:pPr>
        <w:jc w:val="both"/>
        <w:rPr>
          <w:rFonts w:ascii="Arial" w:hAnsi="Arial" w:cs="Arial"/>
          <w:b/>
          <w:sz w:val="24"/>
          <w:szCs w:val="24"/>
        </w:rPr>
      </w:pPr>
      <w:r w:rsidRPr="00C47FFA">
        <w:rPr>
          <w:rFonts w:ascii="Arial" w:hAnsi="Arial" w:cs="Arial"/>
          <w:b/>
          <w:color w:val="984806" w:themeColor="accent6" w:themeShade="80"/>
          <w:sz w:val="24"/>
          <w:szCs w:val="24"/>
          <w:highlight w:val="yellow"/>
        </w:rPr>
        <w:t>La bilirrubina</w:t>
      </w:r>
      <w:r w:rsidRPr="00613C2C">
        <w:rPr>
          <w:rFonts w:ascii="Arial" w:hAnsi="Arial" w:cs="Arial"/>
          <w:b/>
          <w:color w:val="984806" w:themeColor="accent6" w:themeShade="80"/>
          <w:sz w:val="24"/>
          <w:szCs w:val="24"/>
        </w:rPr>
        <w:t xml:space="preserve"> </w:t>
      </w:r>
      <w:r w:rsidRPr="00EE6402">
        <w:rPr>
          <w:rFonts w:ascii="Arial" w:hAnsi="Arial" w:cs="Arial"/>
          <w:b/>
          <w:sz w:val="24"/>
          <w:szCs w:val="24"/>
        </w:rPr>
        <w:t xml:space="preserve">es un pigmento de color amarillo anaranjado que resulta de la degradación natural de la hemoglobina de los glóbulos rojos viejos. </w:t>
      </w:r>
    </w:p>
    <w:p w:rsidR="00832007" w:rsidRPr="00FA4C74" w:rsidRDefault="00EE6402" w:rsidP="00FA4C74">
      <w:pPr>
        <w:jc w:val="both"/>
        <w:rPr>
          <w:rFonts w:ascii="Arial" w:hAnsi="Arial" w:cs="Arial"/>
          <w:b/>
          <w:sz w:val="24"/>
          <w:szCs w:val="24"/>
        </w:rPr>
      </w:pPr>
      <w:r w:rsidRPr="00EE6402">
        <w:rPr>
          <w:rFonts w:ascii="Arial" w:hAnsi="Arial" w:cs="Arial"/>
          <w:b/>
          <w:sz w:val="24"/>
          <w:szCs w:val="24"/>
        </w:rPr>
        <w:t>Es procesada por el hígado y excretada a través de la bilis, sien</w:t>
      </w:r>
      <w:r w:rsidR="00FA4C74">
        <w:rPr>
          <w:rFonts w:ascii="Arial" w:hAnsi="Arial" w:cs="Arial"/>
          <w:b/>
          <w:sz w:val="24"/>
          <w:szCs w:val="24"/>
        </w:rPr>
        <w:t>do esencial para la digestión y sus n</w:t>
      </w:r>
      <w:r w:rsidRPr="00EE6402">
        <w:rPr>
          <w:rFonts w:ascii="Arial" w:hAnsi="Arial" w:cs="Arial"/>
          <w:b/>
          <w:sz w:val="24"/>
          <w:szCs w:val="24"/>
        </w:rPr>
        <w:t xml:space="preserve">iveles altos causan ictericia (piel/ojos amarillos), indicando posibles problemas </w:t>
      </w:r>
      <w:r w:rsidR="00613C2C">
        <w:rPr>
          <w:rFonts w:ascii="Arial" w:hAnsi="Arial" w:cs="Arial"/>
          <w:b/>
          <w:sz w:val="24"/>
          <w:szCs w:val="24"/>
        </w:rPr>
        <w:t xml:space="preserve">hepáticos o anemia hemolítica. </w:t>
      </w:r>
    </w:p>
    <w:p w:rsidR="00FB5F2F" w:rsidRDefault="00832007" w:rsidP="00FA4C74">
      <w:pPr>
        <w:jc w:val="both"/>
        <w:rPr>
          <w:rFonts w:ascii="Arial" w:hAnsi="Arial" w:cs="Arial"/>
          <w:b/>
          <w:sz w:val="24"/>
          <w:szCs w:val="24"/>
        </w:rPr>
      </w:pPr>
      <w:r w:rsidRPr="00C47FFA">
        <w:rPr>
          <w:rFonts w:ascii="Arial" w:hAnsi="Arial" w:cs="Arial"/>
          <w:b/>
          <w:color w:val="984806" w:themeColor="accent6" w:themeShade="80"/>
          <w:sz w:val="24"/>
          <w:szCs w:val="24"/>
          <w:highlight w:val="yellow"/>
        </w:rPr>
        <w:t>Las sales biliares</w:t>
      </w:r>
      <w:r w:rsidRPr="00613C2C">
        <w:rPr>
          <w:rFonts w:ascii="Arial" w:hAnsi="Arial" w:cs="Arial"/>
          <w:b/>
          <w:color w:val="984806" w:themeColor="accent6" w:themeShade="80"/>
          <w:sz w:val="24"/>
          <w:szCs w:val="24"/>
        </w:rPr>
        <w:t xml:space="preserve"> </w:t>
      </w:r>
      <w:r w:rsidRPr="00FA4C74">
        <w:rPr>
          <w:rFonts w:ascii="Arial" w:hAnsi="Arial" w:cs="Arial"/>
          <w:b/>
          <w:sz w:val="24"/>
          <w:szCs w:val="24"/>
        </w:rPr>
        <w:t xml:space="preserve">(ácidos biliares) son el principal componente orgánico de la bilis. El hígado utiliza el transporte activo para secretar las sales biliares hacia el canalículo, que es la hendidura presente entre hepatocitos adyacentes. El transporte canalicular es el paso limitante en la síntesis de bilis. </w:t>
      </w:r>
    </w:p>
    <w:p w:rsidR="00FB5F2F" w:rsidRDefault="00832007" w:rsidP="00FA4C74">
      <w:pPr>
        <w:jc w:val="both"/>
        <w:rPr>
          <w:rFonts w:ascii="Arial" w:hAnsi="Arial" w:cs="Arial"/>
          <w:b/>
          <w:sz w:val="24"/>
          <w:szCs w:val="24"/>
        </w:rPr>
      </w:pPr>
      <w:r w:rsidRPr="00FA4C74">
        <w:rPr>
          <w:rFonts w:ascii="Arial" w:hAnsi="Arial" w:cs="Arial"/>
          <w:b/>
          <w:sz w:val="24"/>
          <w:szCs w:val="24"/>
        </w:rPr>
        <w:t xml:space="preserve">Una vez secretadas, las sales biliares atraen otros componentes de la bilis (en particular sodio y agua) hacia el canalículo por ósmosis. </w:t>
      </w:r>
    </w:p>
    <w:p w:rsidR="009E5E75" w:rsidRDefault="00832007" w:rsidP="00FA4C74">
      <w:pPr>
        <w:jc w:val="both"/>
        <w:rPr>
          <w:rFonts w:ascii="Arial" w:hAnsi="Arial" w:cs="Arial"/>
          <w:b/>
          <w:sz w:val="24"/>
          <w:szCs w:val="24"/>
        </w:rPr>
      </w:pPr>
      <w:r w:rsidRPr="00FA4C74">
        <w:rPr>
          <w:rFonts w:ascii="Arial" w:hAnsi="Arial" w:cs="Arial"/>
          <w:b/>
          <w:sz w:val="24"/>
          <w:szCs w:val="24"/>
        </w:rPr>
        <w:t xml:space="preserve">Las sales biliares también son detergentes biológicos que permiten que el organismo excrete colesterol y productos potencialmente tóxicos (p. ej., bilirrubina, metabolitos de los fármacos). </w:t>
      </w:r>
    </w:p>
    <w:p w:rsidR="00BD6877" w:rsidRPr="00613C2C" w:rsidRDefault="00832007" w:rsidP="00FA4C74">
      <w:pPr>
        <w:jc w:val="both"/>
        <w:rPr>
          <w:rFonts w:ascii="Arial" w:hAnsi="Arial" w:cs="Arial"/>
          <w:b/>
          <w:color w:val="984806" w:themeColor="accent6" w:themeShade="80"/>
          <w:sz w:val="24"/>
          <w:szCs w:val="24"/>
        </w:rPr>
      </w:pPr>
      <w:r w:rsidRPr="00613C2C">
        <w:rPr>
          <w:rFonts w:ascii="Arial" w:hAnsi="Arial" w:cs="Arial"/>
          <w:b/>
          <w:color w:val="984806" w:themeColor="accent6" w:themeShade="80"/>
          <w:sz w:val="24"/>
          <w:szCs w:val="24"/>
          <w:highlight w:val="yellow"/>
        </w:rPr>
        <w:lastRenderedPageBreak/>
        <w:t>La función de las sales biliares en el duodeno es solubilizar los lípidos y las vitaminas liposolubles ingeridos y, de esta manera, facilitar su digestión y su absorción.</w:t>
      </w:r>
      <w:r w:rsidRPr="00613C2C">
        <w:rPr>
          <w:rFonts w:ascii="Arial" w:hAnsi="Arial" w:cs="Arial"/>
          <w:b/>
          <w:color w:val="984806" w:themeColor="accent6" w:themeShade="80"/>
          <w:sz w:val="24"/>
          <w:szCs w:val="24"/>
        </w:rPr>
        <w:t xml:space="preserve"> </w:t>
      </w:r>
    </w:p>
    <w:p w:rsidR="00832007" w:rsidRPr="00FA4C74" w:rsidRDefault="00832007" w:rsidP="00FA4C74">
      <w:pPr>
        <w:jc w:val="both"/>
        <w:rPr>
          <w:rFonts w:ascii="Arial" w:hAnsi="Arial" w:cs="Arial"/>
          <w:b/>
          <w:sz w:val="24"/>
          <w:szCs w:val="24"/>
        </w:rPr>
      </w:pPr>
      <w:r w:rsidRPr="00FA4C74">
        <w:rPr>
          <w:rFonts w:ascii="Arial" w:hAnsi="Arial" w:cs="Arial"/>
          <w:b/>
          <w:sz w:val="24"/>
          <w:szCs w:val="24"/>
        </w:rPr>
        <w:t>Desde el hígado, la bilis fluye a través del sistema colector intrahepático hacia el conducto hepático derecho o izquierdo para, por último, ingresar en el conducto colédoco.</w:t>
      </w:r>
    </w:p>
    <w:p w:rsidR="004D2263" w:rsidRPr="00613C2C" w:rsidRDefault="004D2263" w:rsidP="004D2263">
      <w:pPr>
        <w:jc w:val="both"/>
        <w:rPr>
          <w:rFonts w:ascii="Arial" w:hAnsi="Arial" w:cs="Arial"/>
          <w:b/>
          <w:color w:val="984806" w:themeColor="accent6" w:themeShade="80"/>
          <w:sz w:val="24"/>
          <w:szCs w:val="24"/>
          <w:highlight w:val="yellow"/>
        </w:rPr>
      </w:pPr>
      <w:r w:rsidRPr="00613C2C">
        <w:rPr>
          <w:rFonts w:ascii="Arial" w:hAnsi="Arial" w:cs="Arial"/>
          <w:b/>
          <w:color w:val="984806" w:themeColor="accent6" w:themeShade="80"/>
          <w:sz w:val="24"/>
          <w:szCs w:val="24"/>
          <w:highlight w:val="yellow"/>
        </w:rPr>
        <w:t>EJEMPLO:</w:t>
      </w:r>
    </w:p>
    <w:p w:rsidR="00832007" w:rsidRPr="00A264AA" w:rsidRDefault="00832007" w:rsidP="00A264AA">
      <w:pPr>
        <w:jc w:val="both"/>
        <w:rPr>
          <w:rFonts w:ascii="Arial" w:hAnsi="Arial" w:cs="Arial"/>
          <w:b/>
          <w:color w:val="984806" w:themeColor="accent6" w:themeShade="80"/>
          <w:sz w:val="24"/>
          <w:szCs w:val="24"/>
        </w:rPr>
      </w:pPr>
      <w:r w:rsidRPr="00613C2C">
        <w:rPr>
          <w:rFonts w:ascii="Arial" w:hAnsi="Arial" w:cs="Arial"/>
          <w:b/>
          <w:color w:val="984806" w:themeColor="accent6" w:themeShade="80"/>
          <w:sz w:val="24"/>
          <w:szCs w:val="24"/>
          <w:highlight w:val="yellow"/>
        </w:rPr>
        <w:t>Durante el ayuno, alrededor del 75% de la bilis secretada se dirige desde el conducto hepático común hacia la vesícula biliar a</w:t>
      </w:r>
      <w:r w:rsidR="00A264AA" w:rsidRPr="00613C2C">
        <w:rPr>
          <w:rFonts w:ascii="Arial" w:hAnsi="Arial" w:cs="Arial"/>
          <w:b/>
          <w:color w:val="984806" w:themeColor="accent6" w:themeShade="80"/>
          <w:sz w:val="24"/>
          <w:szCs w:val="24"/>
          <w:highlight w:val="yellow"/>
        </w:rPr>
        <w:t xml:space="preserve"> través del conducto cístico y el</w:t>
      </w:r>
      <w:r w:rsidRPr="00613C2C">
        <w:rPr>
          <w:rFonts w:ascii="Arial" w:hAnsi="Arial" w:cs="Arial"/>
          <w:b/>
          <w:color w:val="984806" w:themeColor="accent6" w:themeShade="80"/>
          <w:sz w:val="24"/>
          <w:szCs w:val="24"/>
          <w:highlight w:val="yellow"/>
        </w:rPr>
        <w:t xml:space="preserve"> resto fluye en forma directa hacia el conducto colédoco (que se forma a través de la unión de los conductos hepático y cístico) y desde allí al duodeno. En este período, la vesícula biliar absorbe hasta el 90% del agua presente en la bilis, lo que conduce a su concentración y su almacenamiento.</w:t>
      </w:r>
    </w:p>
    <w:p w:rsidR="00832007" w:rsidRPr="00AF51A6" w:rsidRDefault="00832007" w:rsidP="00AF51A6">
      <w:pPr>
        <w:jc w:val="both"/>
        <w:rPr>
          <w:rFonts w:ascii="Arial" w:hAnsi="Arial" w:cs="Arial"/>
          <w:b/>
          <w:sz w:val="24"/>
          <w:szCs w:val="24"/>
        </w:rPr>
      </w:pPr>
      <w:r w:rsidRPr="00AF51A6">
        <w:rPr>
          <w:rFonts w:ascii="Arial" w:hAnsi="Arial" w:cs="Arial"/>
          <w:b/>
          <w:sz w:val="24"/>
          <w:szCs w:val="24"/>
        </w:rPr>
        <w:t xml:space="preserve">El </w:t>
      </w:r>
      <w:r w:rsidRPr="00B23D56">
        <w:rPr>
          <w:rFonts w:ascii="Arial" w:hAnsi="Arial" w:cs="Arial"/>
          <w:b/>
          <w:color w:val="984806" w:themeColor="accent6" w:themeShade="80"/>
          <w:sz w:val="24"/>
          <w:szCs w:val="24"/>
        </w:rPr>
        <w:t>esfínter de Oddi</w:t>
      </w:r>
      <w:r w:rsidRPr="00AF51A6">
        <w:rPr>
          <w:rFonts w:ascii="Arial" w:hAnsi="Arial" w:cs="Arial"/>
          <w:b/>
          <w:sz w:val="24"/>
          <w:szCs w:val="24"/>
        </w:rPr>
        <w:t>, que rodea tanto al conducto pancreático como al colédoco, posee un esfínter para cada conducto. En condiciones normales, la bilis no fluye en sentido retrógrado hacia el conducto pancreático. Estos esfínteres son muy sensibles a la colecistocinina y a otras hormonas intestinales (p. ej., péptido liberador de gastrina) y a las alteraciones del tono colinérgico (como las generadas por fármacos anticolinérgicos).</w:t>
      </w:r>
    </w:p>
    <w:p w:rsidR="00832007" w:rsidRPr="004542C3" w:rsidRDefault="00832007" w:rsidP="004542C3">
      <w:pPr>
        <w:jc w:val="both"/>
        <w:rPr>
          <w:rFonts w:ascii="Arial" w:hAnsi="Arial" w:cs="Arial"/>
          <w:b/>
          <w:sz w:val="24"/>
          <w:szCs w:val="24"/>
        </w:rPr>
      </w:pPr>
      <w:r w:rsidRPr="00AF51A6">
        <w:rPr>
          <w:rFonts w:ascii="Arial" w:hAnsi="Arial" w:cs="Arial"/>
          <w:b/>
          <w:sz w:val="24"/>
          <w:szCs w:val="24"/>
        </w:rPr>
        <w:t>Los alimentos ingeridos estimulan la secreción de hormonas en el intestino y a los nervios colinérgicos, que promueven la contracción de la vesícula biliar y la relajación del esfínter de Oddi. Como consecuencia, la vesícula biliar vacía entre el 50 y el 75% de su contenido en el duodeno. En cambio, durante el ayuno, el aumento del tono del esfínter faci</w:t>
      </w:r>
      <w:r w:rsidR="004542C3">
        <w:rPr>
          <w:rFonts w:ascii="Arial" w:hAnsi="Arial" w:cs="Arial"/>
          <w:b/>
          <w:sz w:val="24"/>
          <w:szCs w:val="24"/>
        </w:rPr>
        <w:t>lita el llenado de la vesícula.</w:t>
      </w:r>
    </w:p>
    <w:p w:rsidR="004542C3" w:rsidRDefault="00832007" w:rsidP="004542C3">
      <w:pPr>
        <w:jc w:val="both"/>
        <w:rPr>
          <w:rFonts w:ascii="Arial" w:hAnsi="Arial" w:cs="Arial"/>
          <w:b/>
          <w:sz w:val="24"/>
          <w:szCs w:val="24"/>
        </w:rPr>
      </w:pPr>
      <w:r w:rsidRPr="004542C3">
        <w:rPr>
          <w:rFonts w:ascii="Arial" w:hAnsi="Arial" w:cs="Arial"/>
          <w:b/>
          <w:sz w:val="24"/>
          <w:szCs w:val="24"/>
        </w:rPr>
        <w:t>Las sales biliares se absorben en forma escasa por difusión pasiva en la porción proximal del intestino delgado y la mayor parte de las sales biliares intestinales llega al íleon terminal, que absorbe el 90% de las sales biliares en la circulación venosa portal. Al regresar al hígado, este órgano extrae las sales biliares con eficiencia, las modi</w:t>
      </w:r>
      <w:r w:rsidR="004542C3">
        <w:rPr>
          <w:rFonts w:ascii="Arial" w:hAnsi="Arial" w:cs="Arial"/>
          <w:b/>
          <w:sz w:val="24"/>
          <w:szCs w:val="24"/>
        </w:rPr>
        <w:t xml:space="preserve">fica con rapidez </w:t>
      </w:r>
      <w:r w:rsidRPr="004542C3">
        <w:rPr>
          <w:rFonts w:ascii="Arial" w:hAnsi="Arial" w:cs="Arial"/>
          <w:b/>
          <w:sz w:val="24"/>
          <w:szCs w:val="24"/>
        </w:rPr>
        <w:t xml:space="preserve">y </w:t>
      </w:r>
      <w:r w:rsidR="004542C3" w:rsidRPr="004542C3">
        <w:rPr>
          <w:rFonts w:ascii="Arial" w:hAnsi="Arial" w:cs="Arial"/>
          <w:b/>
          <w:sz w:val="24"/>
          <w:szCs w:val="24"/>
        </w:rPr>
        <w:t>la secreta</w:t>
      </w:r>
      <w:r w:rsidRPr="004542C3">
        <w:rPr>
          <w:rFonts w:ascii="Arial" w:hAnsi="Arial" w:cs="Arial"/>
          <w:b/>
          <w:sz w:val="24"/>
          <w:szCs w:val="24"/>
        </w:rPr>
        <w:t xml:space="preserve"> otra vez hacia la bilis. </w:t>
      </w:r>
    </w:p>
    <w:p w:rsidR="00832007" w:rsidRPr="004542C3" w:rsidRDefault="00832007" w:rsidP="004542C3">
      <w:pPr>
        <w:jc w:val="both"/>
        <w:rPr>
          <w:rFonts w:ascii="Arial" w:hAnsi="Arial" w:cs="Arial"/>
          <w:b/>
          <w:color w:val="984806" w:themeColor="accent6" w:themeShade="80"/>
          <w:sz w:val="24"/>
          <w:szCs w:val="24"/>
        </w:rPr>
      </w:pPr>
      <w:r w:rsidRPr="00613C2C">
        <w:rPr>
          <w:rFonts w:ascii="Arial" w:hAnsi="Arial" w:cs="Arial"/>
          <w:b/>
          <w:color w:val="984806" w:themeColor="accent6" w:themeShade="80"/>
          <w:sz w:val="24"/>
          <w:szCs w:val="24"/>
          <w:highlight w:val="yellow"/>
        </w:rPr>
        <w:t>Las sales biliares circulan a través de esta vía desde el hígado hacia el intestino y otra vez al hígado (circulación enterohepática) entre 10 y 12 veces al día.</w:t>
      </w:r>
    </w:p>
    <w:p w:rsidR="004542C3" w:rsidRDefault="00832007" w:rsidP="004542C3">
      <w:pPr>
        <w:jc w:val="both"/>
        <w:rPr>
          <w:rFonts w:ascii="Arial" w:hAnsi="Arial" w:cs="Arial"/>
          <w:b/>
          <w:color w:val="000000" w:themeColor="text1"/>
          <w:sz w:val="24"/>
          <w:szCs w:val="24"/>
        </w:rPr>
      </w:pPr>
      <w:r w:rsidRPr="004542C3">
        <w:rPr>
          <w:rFonts w:ascii="Arial" w:hAnsi="Arial" w:cs="Arial"/>
          <w:b/>
          <w:color w:val="000000" w:themeColor="text1"/>
          <w:sz w:val="24"/>
          <w:szCs w:val="24"/>
        </w:rPr>
        <w:t xml:space="preserve">La mayoría de los trastornos del tracto biliar son el resultado de cálculos biliares, aunque el dolor biliar alitiásico se produce en ausencia de </w:t>
      </w:r>
      <w:r w:rsidRPr="004542C3">
        <w:rPr>
          <w:rFonts w:ascii="Arial" w:hAnsi="Arial" w:cs="Arial"/>
          <w:b/>
          <w:color w:val="000000" w:themeColor="text1"/>
          <w:sz w:val="24"/>
          <w:szCs w:val="24"/>
        </w:rPr>
        <w:lastRenderedPageBreak/>
        <w:t xml:space="preserve">cálculos biliares y el síndrome poscolecistectomía se desencadena después de la extirpación de la vesícula biliar. </w:t>
      </w:r>
    </w:p>
    <w:p w:rsidR="00832007" w:rsidRDefault="00832007" w:rsidP="004542C3">
      <w:pPr>
        <w:jc w:val="both"/>
        <w:rPr>
          <w:rFonts w:ascii="Arial" w:hAnsi="Arial" w:cs="Arial"/>
          <w:b/>
          <w:color w:val="000000" w:themeColor="text1"/>
          <w:sz w:val="24"/>
          <w:szCs w:val="24"/>
        </w:rPr>
      </w:pPr>
      <w:r w:rsidRPr="004542C3">
        <w:rPr>
          <w:rFonts w:ascii="Arial" w:hAnsi="Arial" w:cs="Arial"/>
          <w:b/>
          <w:color w:val="000000" w:themeColor="text1"/>
          <w:sz w:val="24"/>
          <w:szCs w:val="24"/>
        </w:rPr>
        <w:t>Los cálculos en la vesícula biliar (colelitiasis) son generalmente asintomáticos. El flujo biliar puede estar bloqueado por cálculos en los conductos biliares (coledocolitiasis), lo que desencadena el cólico biliar o causa la inflamación de la vesícula biliar (colecistitis). La colecistitis puede ser aguda, desarrollándose en horas, o crónica, que persiste durante un largo tiempo.</w:t>
      </w:r>
    </w:p>
    <w:p w:rsidR="009211A5" w:rsidRDefault="009211A5" w:rsidP="004542C3">
      <w:pPr>
        <w:jc w:val="both"/>
        <w:rPr>
          <w:rFonts w:ascii="Arial" w:hAnsi="Arial" w:cs="Arial"/>
          <w:b/>
          <w:color w:val="000000" w:themeColor="text1"/>
          <w:sz w:val="24"/>
          <w:szCs w:val="24"/>
        </w:rPr>
      </w:pPr>
    </w:p>
    <w:p w:rsidR="009211A5" w:rsidRDefault="009211A5" w:rsidP="004542C3">
      <w:pPr>
        <w:jc w:val="both"/>
        <w:rPr>
          <w:rFonts w:ascii="Arial" w:hAnsi="Arial" w:cs="Arial"/>
          <w:b/>
          <w:color w:val="000000" w:themeColor="text1"/>
          <w:sz w:val="24"/>
          <w:szCs w:val="24"/>
        </w:rPr>
      </w:pPr>
    </w:p>
    <w:p w:rsidR="009211A5" w:rsidRPr="00613C2C" w:rsidRDefault="009211A5" w:rsidP="00613C2C">
      <w:pPr>
        <w:jc w:val="center"/>
        <w:rPr>
          <w:rFonts w:ascii="Arial" w:hAnsi="Arial" w:cs="Arial"/>
          <w:b/>
          <w:color w:val="000000" w:themeColor="text1"/>
          <w:sz w:val="40"/>
          <w:szCs w:val="40"/>
        </w:rPr>
      </w:pPr>
      <w:r w:rsidRPr="00C47FFA">
        <w:rPr>
          <w:rFonts w:ascii="Blackadder ITC" w:hAnsi="Blackadder ITC" w:cs="Arial"/>
          <w:b/>
          <w:color w:val="984806" w:themeColor="accent6" w:themeShade="80"/>
          <w:sz w:val="72"/>
          <w:szCs w:val="72"/>
          <w:highlight w:val="yellow"/>
        </w:rPr>
        <w:t>C</w:t>
      </w:r>
      <w:r w:rsidRPr="00C47FFA">
        <w:rPr>
          <w:rFonts w:ascii="Arial" w:hAnsi="Arial" w:cs="Arial"/>
          <w:b/>
          <w:color w:val="000000" w:themeColor="text1"/>
          <w:sz w:val="40"/>
          <w:szCs w:val="40"/>
          <w:highlight w:val="yellow"/>
        </w:rPr>
        <w:t xml:space="preserve">IRCULACION  </w:t>
      </w:r>
      <w:r w:rsidRPr="00C47FFA">
        <w:rPr>
          <w:rFonts w:ascii="Blackadder ITC" w:hAnsi="Blackadder ITC" w:cs="Arial"/>
          <w:b/>
          <w:color w:val="984806" w:themeColor="accent6" w:themeShade="80"/>
          <w:sz w:val="72"/>
          <w:szCs w:val="72"/>
          <w:highlight w:val="yellow"/>
        </w:rPr>
        <w:t>E</w:t>
      </w:r>
      <w:r w:rsidRPr="00C47FFA">
        <w:rPr>
          <w:rFonts w:ascii="Arial" w:hAnsi="Arial" w:cs="Arial"/>
          <w:b/>
          <w:color w:val="000000" w:themeColor="text1"/>
          <w:sz w:val="40"/>
          <w:szCs w:val="40"/>
          <w:highlight w:val="yellow"/>
        </w:rPr>
        <w:t>NTEROHEPATICA</w:t>
      </w:r>
    </w:p>
    <w:p w:rsidR="009211A5" w:rsidRDefault="009211A5" w:rsidP="004542C3">
      <w:pPr>
        <w:jc w:val="both"/>
        <w:rPr>
          <w:rFonts w:ascii="Arial" w:hAnsi="Arial" w:cs="Arial"/>
          <w:b/>
          <w:color w:val="000000" w:themeColor="text1"/>
          <w:sz w:val="24"/>
          <w:szCs w:val="24"/>
        </w:rPr>
      </w:pPr>
      <w:r w:rsidRPr="009211A5">
        <w:rPr>
          <w:rFonts w:ascii="Arial" w:hAnsi="Arial" w:cs="Arial"/>
          <w:b/>
          <w:color w:val="000000" w:themeColor="text1"/>
          <w:sz w:val="24"/>
          <w:szCs w:val="24"/>
        </w:rPr>
        <w:t>La circulación enterohepática se refiere al proceso por el cual los ácidos biliares y otros compuestos se excretan en el intestino, se reabsorbe</w:t>
      </w:r>
      <w:r w:rsidR="00613C2C">
        <w:rPr>
          <w:rFonts w:ascii="Arial" w:hAnsi="Arial" w:cs="Arial"/>
          <w:b/>
          <w:color w:val="000000" w:themeColor="text1"/>
          <w:sz w:val="24"/>
          <w:szCs w:val="24"/>
        </w:rPr>
        <w:t xml:space="preserve">n </w:t>
      </w:r>
      <w:r w:rsidRPr="009211A5">
        <w:rPr>
          <w:rFonts w:ascii="Arial" w:hAnsi="Arial" w:cs="Arial"/>
          <w:b/>
          <w:color w:val="000000" w:themeColor="text1"/>
          <w:sz w:val="24"/>
          <w:szCs w:val="24"/>
        </w:rPr>
        <w:t xml:space="preserve"> y se transportan de regreso al hígado a través de la circulación portal. Este ciclo desempeña un papel importante en el reciclaje de los ácidos biliares y puede influir en la toxicidad y la farmacocinética de diversas sustancias.</w:t>
      </w:r>
    </w:p>
    <w:p w:rsidR="00613C2C" w:rsidRDefault="00613C2C" w:rsidP="00613C2C">
      <w:pPr>
        <w:jc w:val="both"/>
        <w:rPr>
          <w:rFonts w:ascii="Arial" w:hAnsi="Arial" w:cs="Arial"/>
          <w:b/>
          <w:color w:val="000000" w:themeColor="text1"/>
          <w:sz w:val="24"/>
          <w:szCs w:val="24"/>
        </w:rPr>
      </w:pPr>
      <w:r>
        <w:rPr>
          <w:rFonts w:ascii="Arial" w:hAnsi="Arial" w:cs="Arial"/>
          <w:b/>
          <w:color w:val="000000" w:themeColor="text1"/>
          <w:sz w:val="24"/>
          <w:szCs w:val="24"/>
        </w:rPr>
        <w:t xml:space="preserve">Esta circulacion </w:t>
      </w:r>
      <w:r w:rsidRPr="00613C2C">
        <w:rPr>
          <w:rFonts w:ascii="Arial" w:hAnsi="Arial" w:cs="Arial"/>
          <w:b/>
          <w:color w:val="000000" w:themeColor="text1"/>
          <w:sz w:val="24"/>
          <w:szCs w:val="24"/>
        </w:rPr>
        <w:t>permite el reciclaje de compuestos metabolizados y no metabolizados, y es de vital importancia en los procesos toxicológicos que involu</w:t>
      </w:r>
      <w:r>
        <w:rPr>
          <w:rFonts w:ascii="Arial" w:hAnsi="Arial" w:cs="Arial"/>
          <w:b/>
          <w:color w:val="000000" w:themeColor="text1"/>
          <w:sz w:val="24"/>
          <w:szCs w:val="24"/>
        </w:rPr>
        <w:t>cran el tracto gastrointestinal</w:t>
      </w:r>
      <w:r w:rsidRPr="00613C2C">
        <w:rPr>
          <w:rFonts w:ascii="Arial" w:hAnsi="Arial" w:cs="Arial"/>
          <w:b/>
          <w:color w:val="000000" w:themeColor="text1"/>
          <w:sz w:val="24"/>
          <w:szCs w:val="24"/>
        </w:rPr>
        <w:t xml:space="preserve">. </w:t>
      </w:r>
    </w:p>
    <w:p w:rsidR="00613C2C" w:rsidRPr="00613C2C" w:rsidRDefault="00613C2C" w:rsidP="00613C2C">
      <w:pPr>
        <w:jc w:val="both"/>
        <w:rPr>
          <w:rFonts w:ascii="Arial" w:hAnsi="Arial" w:cs="Arial"/>
          <w:b/>
          <w:color w:val="000000" w:themeColor="text1"/>
          <w:sz w:val="24"/>
          <w:szCs w:val="24"/>
        </w:rPr>
      </w:pPr>
      <w:r w:rsidRPr="00613C2C">
        <w:rPr>
          <w:rFonts w:ascii="Arial" w:hAnsi="Arial" w:cs="Arial"/>
          <w:b/>
          <w:color w:val="000000" w:themeColor="text1"/>
          <w:sz w:val="24"/>
          <w:szCs w:val="24"/>
        </w:rPr>
        <w:t xml:space="preserve">Esta vía circulatoria se activa cuando los compuestos ingeridos que se absorben en el tracto gastrointestinal ingresan a la circulación portal, se dirigen al hígado y luego regresan al tracto gastrointestinal a través de la excreción biliar. </w:t>
      </w:r>
    </w:p>
    <w:p w:rsidR="00613C2C" w:rsidRDefault="00613C2C" w:rsidP="00613C2C">
      <w:pPr>
        <w:jc w:val="both"/>
        <w:rPr>
          <w:rFonts w:ascii="Arial" w:hAnsi="Arial" w:cs="Arial"/>
          <w:b/>
          <w:color w:val="000000" w:themeColor="text1"/>
          <w:sz w:val="24"/>
          <w:szCs w:val="24"/>
        </w:rPr>
      </w:pPr>
      <w:r w:rsidRPr="00613C2C">
        <w:rPr>
          <w:rFonts w:ascii="Arial" w:hAnsi="Arial" w:cs="Arial"/>
          <w:b/>
          <w:color w:val="000000" w:themeColor="text1"/>
          <w:sz w:val="24"/>
          <w:szCs w:val="24"/>
        </w:rPr>
        <w:t xml:space="preserve">Un compuesto abandona la circulación enterohepática si pasa por las heces antes de ser reabsorbido, o por la orina antes de ser eliminado por el hígado. </w:t>
      </w:r>
    </w:p>
    <w:p w:rsidR="00613C2C" w:rsidRDefault="00613C2C" w:rsidP="00613C2C">
      <w:pPr>
        <w:jc w:val="both"/>
        <w:rPr>
          <w:rFonts w:ascii="Arial" w:hAnsi="Arial" w:cs="Arial"/>
          <w:b/>
          <w:color w:val="000000" w:themeColor="text1"/>
          <w:sz w:val="24"/>
          <w:szCs w:val="24"/>
        </w:rPr>
      </w:pPr>
      <w:r w:rsidRPr="00613C2C">
        <w:rPr>
          <w:rFonts w:ascii="Arial" w:hAnsi="Arial" w:cs="Arial"/>
          <w:b/>
          <w:color w:val="000000" w:themeColor="text1"/>
          <w:sz w:val="24"/>
          <w:szCs w:val="24"/>
        </w:rPr>
        <w:t>Los componentes anatómicos de la circulación enterohepática son</w:t>
      </w:r>
      <w:r>
        <w:rPr>
          <w:rFonts w:ascii="Arial" w:hAnsi="Arial" w:cs="Arial"/>
          <w:b/>
          <w:color w:val="000000" w:themeColor="text1"/>
          <w:sz w:val="24"/>
          <w:szCs w:val="24"/>
        </w:rPr>
        <w:t>:</w:t>
      </w:r>
      <w:r w:rsidRPr="00613C2C">
        <w:rPr>
          <w:rFonts w:ascii="Arial" w:hAnsi="Arial" w:cs="Arial"/>
          <w:b/>
          <w:color w:val="000000" w:themeColor="text1"/>
          <w:sz w:val="24"/>
          <w:szCs w:val="24"/>
        </w:rPr>
        <w:t xml:space="preserve"> </w:t>
      </w:r>
    </w:p>
    <w:p w:rsidR="00613C2C" w:rsidRDefault="00613C2C" w:rsidP="00613C2C">
      <w:pPr>
        <w:pStyle w:val="Prrafodelista"/>
        <w:numPr>
          <w:ilvl w:val="0"/>
          <w:numId w:val="1"/>
        </w:numPr>
        <w:jc w:val="both"/>
        <w:rPr>
          <w:rFonts w:ascii="Arial" w:hAnsi="Arial" w:cs="Arial"/>
          <w:b/>
          <w:color w:val="000000" w:themeColor="text1"/>
          <w:sz w:val="24"/>
          <w:szCs w:val="24"/>
        </w:rPr>
      </w:pPr>
      <w:r w:rsidRPr="00613C2C">
        <w:rPr>
          <w:rFonts w:ascii="Arial" w:hAnsi="Arial" w:cs="Arial"/>
          <w:b/>
          <w:color w:val="000000" w:themeColor="text1"/>
          <w:sz w:val="24"/>
          <w:szCs w:val="24"/>
        </w:rPr>
        <w:t xml:space="preserve">el hígado, </w:t>
      </w:r>
    </w:p>
    <w:p w:rsidR="00613C2C" w:rsidRDefault="00613C2C" w:rsidP="00613C2C">
      <w:pPr>
        <w:pStyle w:val="Prrafodelista"/>
        <w:numPr>
          <w:ilvl w:val="0"/>
          <w:numId w:val="1"/>
        </w:numPr>
        <w:jc w:val="both"/>
        <w:rPr>
          <w:rFonts w:ascii="Arial" w:hAnsi="Arial" w:cs="Arial"/>
          <w:b/>
          <w:color w:val="000000" w:themeColor="text1"/>
          <w:sz w:val="24"/>
          <w:szCs w:val="24"/>
        </w:rPr>
      </w:pPr>
      <w:r w:rsidRPr="00613C2C">
        <w:rPr>
          <w:rFonts w:ascii="Arial" w:hAnsi="Arial" w:cs="Arial"/>
          <w:b/>
          <w:color w:val="000000" w:themeColor="text1"/>
          <w:sz w:val="24"/>
          <w:szCs w:val="24"/>
        </w:rPr>
        <w:t xml:space="preserve">las vías biliares, </w:t>
      </w:r>
    </w:p>
    <w:p w:rsidR="00613C2C" w:rsidRDefault="00613C2C" w:rsidP="00613C2C">
      <w:pPr>
        <w:pStyle w:val="Prrafodelista"/>
        <w:numPr>
          <w:ilvl w:val="0"/>
          <w:numId w:val="1"/>
        </w:numPr>
        <w:jc w:val="both"/>
        <w:rPr>
          <w:rFonts w:ascii="Arial" w:hAnsi="Arial" w:cs="Arial"/>
          <w:b/>
          <w:color w:val="000000" w:themeColor="text1"/>
          <w:sz w:val="24"/>
          <w:szCs w:val="24"/>
        </w:rPr>
      </w:pPr>
      <w:r w:rsidRPr="00613C2C">
        <w:rPr>
          <w:rFonts w:ascii="Arial" w:hAnsi="Arial" w:cs="Arial"/>
          <w:b/>
          <w:color w:val="000000" w:themeColor="text1"/>
          <w:sz w:val="24"/>
          <w:szCs w:val="24"/>
        </w:rPr>
        <w:t xml:space="preserve">la vesícula biliar, </w:t>
      </w:r>
    </w:p>
    <w:p w:rsidR="00613C2C" w:rsidRDefault="00613C2C" w:rsidP="00613C2C">
      <w:pPr>
        <w:pStyle w:val="Prrafodelista"/>
        <w:numPr>
          <w:ilvl w:val="0"/>
          <w:numId w:val="1"/>
        </w:numPr>
        <w:jc w:val="both"/>
        <w:rPr>
          <w:rFonts w:ascii="Arial" w:hAnsi="Arial" w:cs="Arial"/>
          <w:b/>
          <w:color w:val="000000" w:themeColor="text1"/>
          <w:sz w:val="24"/>
          <w:szCs w:val="24"/>
        </w:rPr>
      </w:pPr>
      <w:r w:rsidRPr="00613C2C">
        <w:rPr>
          <w:rFonts w:ascii="Arial" w:hAnsi="Arial" w:cs="Arial"/>
          <w:b/>
          <w:color w:val="000000" w:themeColor="text1"/>
          <w:sz w:val="24"/>
          <w:szCs w:val="24"/>
        </w:rPr>
        <w:t xml:space="preserve">el intestino delgado , </w:t>
      </w:r>
    </w:p>
    <w:p w:rsidR="00613C2C" w:rsidRDefault="00613C2C" w:rsidP="00613C2C">
      <w:pPr>
        <w:pStyle w:val="Prrafodelista"/>
        <w:numPr>
          <w:ilvl w:val="0"/>
          <w:numId w:val="1"/>
        </w:numPr>
        <w:jc w:val="both"/>
        <w:rPr>
          <w:rFonts w:ascii="Arial" w:hAnsi="Arial" w:cs="Arial"/>
          <w:b/>
          <w:color w:val="000000" w:themeColor="text1"/>
          <w:sz w:val="24"/>
          <w:szCs w:val="24"/>
        </w:rPr>
      </w:pPr>
      <w:r w:rsidRPr="00613C2C">
        <w:rPr>
          <w:rFonts w:ascii="Arial" w:hAnsi="Arial" w:cs="Arial"/>
          <w:b/>
          <w:color w:val="000000" w:themeColor="text1"/>
          <w:sz w:val="24"/>
          <w:szCs w:val="24"/>
        </w:rPr>
        <w:t xml:space="preserve">la circulación venosa portal y, en menor medida, </w:t>
      </w:r>
    </w:p>
    <w:p w:rsidR="00613C2C" w:rsidRDefault="00613C2C" w:rsidP="00613C2C">
      <w:pPr>
        <w:pStyle w:val="Prrafodelista"/>
        <w:numPr>
          <w:ilvl w:val="0"/>
          <w:numId w:val="1"/>
        </w:numPr>
        <w:jc w:val="both"/>
        <w:rPr>
          <w:rFonts w:ascii="Arial" w:hAnsi="Arial" w:cs="Arial"/>
          <w:b/>
          <w:color w:val="000000" w:themeColor="text1"/>
          <w:sz w:val="24"/>
          <w:szCs w:val="24"/>
        </w:rPr>
      </w:pPr>
      <w:r w:rsidRPr="00613C2C">
        <w:rPr>
          <w:rFonts w:ascii="Arial" w:hAnsi="Arial" w:cs="Arial"/>
          <w:b/>
          <w:color w:val="000000" w:themeColor="text1"/>
          <w:sz w:val="24"/>
          <w:szCs w:val="24"/>
        </w:rPr>
        <w:t xml:space="preserve">el colon, </w:t>
      </w:r>
    </w:p>
    <w:p w:rsidR="00613C2C" w:rsidRDefault="00613C2C" w:rsidP="00613C2C">
      <w:pPr>
        <w:pStyle w:val="Prrafodelista"/>
        <w:numPr>
          <w:ilvl w:val="0"/>
          <w:numId w:val="1"/>
        </w:numPr>
        <w:jc w:val="both"/>
        <w:rPr>
          <w:rFonts w:ascii="Arial" w:hAnsi="Arial" w:cs="Arial"/>
          <w:b/>
          <w:color w:val="000000" w:themeColor="text1"/>
          <w:sz w:val="24"/>
          <w:szCs w:val="24"/>
        </w:rPr>
      </w:pPr>
      <w:r w:rsidRPr="00613C2C">
        <w:rPr>
          <w:rFonts w:ascii="Arial" w:hAnsi="Arial" w:cs="Arial"/>
          <w:b/>
          <w:color w:val="000000" w:themeColor="text1"/>
          <w:sz w:val="24"/>
          <w:szCs w:val="24"/>
        </w:rPr>
        <w:t xml:space="preserve">la circulación sistémica y </w:t>
      </w:r>
    </w:p>
    <w:p w:rsidR="00613C2C" w:rsidRDefault="00613C2C" w:rsidP="00613C2C">
      <w:pPr>
        <w:pStyle w:val="Prrafodelista"/>
        <w:numPr>
          <w:ilvl w:val="0"/>
          <w:numId w:val="1"/>
        </w:numPr>
        <w:jc w:val="both"/>
        <w:rPr>
          <w:rFonts w:ascii="Arial" w:hAnsi="Arial" w:cs="Arial"/>
          <w:b/>
          <w:color w:val="000000" w:themeColor="text1"/>
          <w:sz w:val="24"/>
          <w:szCs w:val="24"/>
        </w:rPr>
      </w:pPr>
      <w:r>
        <w:rPr>
          <w:rFonts w:ascii="Arial" w:hAnsi="Arial" w:cs="Arial"/>
          <w:b/>
          <w:color w:val="000000" w:themeColor="text1"/>
          <w:sz w:val="24"/>
          <w:szCs w:val="24"/>
        </w:rPr>
        <w:lastRenderedPageBreak/>
        <w:t>los riñones.</w:t>
      </w:r>
    </w:p>
    <w:p w:rsidR="00613C2C" w:rsidRDefault="00613C2C" w:rsidP="00613C2C">
      <w:pPr>
        <w:jc w:val="both"/>
        <w:rPr>
          <w:rFonts w:ascii="Arial" w:hAnsi="Arial" w:cs="Arial"/>
          <w:b/>
          <w:color w:val="000000" w:themeColor="text1"/>
          <w:sz w:val="24"/>
          <w:szCs w:val="24"/>
        </w:rPr>
      </w:pPr>
      <w:r w:rsidRPr="00613C2C">
        <w:rPr>
          <w:rFonts w:ascii="Arial" w:hAnsi="Arial" w:cs="Arial"/>
          <w:b/>
          <w:color w:val="000000" w:themeColor="text1"/>
          <w:sz w:val="24"/>
          <w:szCs w:val="24"/>
        </w:rPr>
        <w:t xml:space="preserve"> A nivel fundamental, la circulación enterohepática de los ácidos biliares puede considerarse compuesta por una serie de cámaras de almacenamiento (vesícula biliar, intestino delgado), válvulas (esfínter de Oddi, válvula ileocecal), bombas mecánicas (canalículos biliares, vías biliares, intestino delgado) y bombas químicas (hepatocito, colangiocito e ileocito).</w:t>
      </w:r>
    </w:p>
    <w:p w:rsidR="00B23D56" w:rsidRDefault="00B23D56" w:rsidP="00613C2C">
      <w:pPr>
        <w:jc w:val="both"/>
        <w:rPr>
          <w:rFonts w:ascii="Arial" w:hAnsi="Arial" w:cs="Arial"/>
          <w:b/>
          <w:color w:val="000000" w:themeColor="text1"/>
          <w:sz w:val="24"/>
          <w:szCs w:val="24"/>
        </w:rPr>
      </w:pPr>
    </w:p>
    <w:p w:rsidR="00B23D56" w:rsidRDefault="00B23D56" w:rsidP="00613C2C">
      <w:pPr>
        <w:jc w:val="both"/>
        <w:rPr>
          <w:rFonts w:ascii="Arial" w:hAnsi="Arial" w:cs="Arial"/>
          <w:b/>
          <w:color w:val="000000" w:themeColor="text1"/>
          <w:sz w:val="24"/>
          <w:szCs w:val="24"/>
        </w:rPr>
      </w:pPr>
    </w:p>
    <w:p w:rsidR="00B23D56" w:rsidRPr="00613C2C" w:rsidRDefault="00C47FFA" w:rsidP="00613C2C">
      <w:pPr>
        <w:jc w:val="both"/>
        <w:rPr>
          <w:rFonts w:ascii="Arial" w:hAnsi="Arial" w:cs="Arial"/>
          <w:b/>
          <w:color w:val="000000" w:themeColor="text1"/>
          <w:sz w:val="24"/>
          <w:szCs w:val="24"/>
        </w:rPr>
      </w:pPr>
      <w:r>
        <w:rPr>
          <w:rFonts w:ascii="Arial" w:hAnsi="Arial" w:cs="Arial"/>
          <w:b/>
          <w:noProof/>
          <w:color w:val="000000" w:themeColor="text1"/>
          <w:sz w:val="24"/>
          <w:szCs w:val="24"/>
          <w:lang w:eastAsia="es-AR"/>
        </w:rPr>
        <mc:AlternateContent>
          <mc:Choice Requires="wps">
            <w:drawing>
              <wp:anchor distT="0" distB="0" distL="114300" distR="114300" simplePos="0" relativeHeight="251660288" behindDoc="0" locked="0" layoutInCell="1" allowOverlap="1" wp14:anchorId="5BFBA0AA" wp14:editId="5F4F8B1F">
                <wp:simplePos x="0" y="0"/>
                <wp:positionH relativeFrom="column">
                  <wp:posOffset>-643890</wp:posOffset>
                </wp:positionH>
                <wp:positionV relativeFrom="paragraph">
                  <wp:posOffset>320675</wp:posOffset>
                </wp:positionV>
                <wp:extent cx="5485765" cy="914400"/>
                <wp:effectExtent l="0" t="495300" r="0" b="495300"/>
                <wp:wrapNone/>
                <wp:docPr id="2" name="2 Menos"/>
                <wp:cNvGraphicFramePr/>
                <a:graphic xmlns:a="http://schemas.openxmlformats.org/drawingml/2006/main">
                  <a:graphicData uri="http://schemas.microsoft.com/office/word/2010/wordprocessingShape">
                    <wps:wsp>
                      <wps:cNvSpPr/>
                      <wps:spPr>
                        <a:xfrm rot="20161243">
                          <a:off x="0" y="0"/>
                          <a:ext cx="5485765" cy="914400"/>
                        </a:xfrm>
                        <a:prstGeom prst="mathMinus">
                          <a:avLst/>
                        </a:prstGeom>
                        <a:solidFill>
                          <a:srgbClr val="FFFF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2 Menos" o:spid="_x0000_s1026" style="position:absolute;margin-left:-50.7pt;margin-top:25.25pt;width:431.95pt;height:1in;rotation:-1571506fd;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48576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" path="m727138,349667r4031489,l4758627,564733r-4031489,l727138,349667xe" fillcolor="yellow" strokecolor="black [3213]" strokeweight="3pt">
                <v:path arrowok="t" o:connecttype="custom" o:connectlocs="727138,349667;4758627,349667;4758627,564733;727138,564733;727138,349667" o:connectangles="0,0,0,0,0"/>
              </v:shape>
            </w:pict>
          </mc:Fallback>
        </mc:AlternateContent>
      </w:r>
    </w:p>
    <w:sectPr w:rsidR="00B23D56" w:rsidRPr="00613C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F1316"/>
    <w:multiLevelType w:val="hybridMultilevel"/>
    <w:tmpl w:val="6868E890"/>
    <w:lvl w:ilvl="0" w:tplc="76F61AB8">
      <w:numFmt w:val="bullet"/>
      <w:lvlText w:val=""/>
      <w:lvlJc w:val="left"/>
      <w:pPr>
        <w:ind w:left="720" w:hanging="360"/>
      </w:pPr>
      <w:rPr>
        <w:rFonts w:ascii="Wingdings" w:eastAsiaTheme="minorHAnsi" w:hAnsi="Wingdings" w:cs="Arial" w:hint="default"/>
        <w:b/>
        <w:color w:val="FFFF00"/>
        <w:sz w:val="32"/>
        <w:szCs w:val="3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07"/>
    <w:rsid w:val="00210F6A"/>
    <w:rsid w:val="003B7C00"/>
    <w:rsid w:val="004542C3"/>
    <w:rsid w:val="004D2263"/>
    <w:rsid w:val="00613C2C"/>
    <w:rsid w:val="006744AC"/>
    <w:rsid w:val="007A3C10"/>
    <w:rsid w:val="00832007"/>
    <w:rsid w:val="009211A5"/>
    <w:rsid w:val="009E5E75"/>
    <w:rsid w:val="00A264AA"/>
    <w:rsid w:val="00AF51A6"/>
    <w:rsid w:val="00B23D56"/>
    <w:rsid w:val="00BD6877"/>
    <w:rsid w:val="00C47FFA"/>
    <w:rsid w:val="00EE6402"/>
    <w:rsid w:val="00FA4C74"/>
    <w:rsid w:val="00FB5F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3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3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4</Pages>
  <Words>918</Words>
  <Characters>5053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dcterms:created xsi:type="dcterms:W3CDTF">2026-05-02T09:07:00Z</dcterms:created>
  <dcterms:modified xsi:type="dcterms:W3CDTF">2026-05-05T23:12:00Z</dcterms:modified>
</cp:coreProperties>
</file>