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D1" w:rsidRDefault="005E5DD1" w:rsidP="005E5DD1">
      <w:pPr>
        <w:tabs>
          <w:tab w:val="left" w:pos="34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ab/>
      </w:r>
    </w:p>
    <w:p w:rsidR="004832F4" w:rsidRDefault="004832F4" w:rsidP="004832F4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b/>
          <w:bCs/>
          <w:color w:val="1D2125"/>
          <w:sz w:val="22"/>
          <w:szCs w:val="22"/>
        </w:rPr>
      </w:pPr>
      <w:r w:rsidRPr="004832F4">
        <w:rPr>
          <w:rFonts w:ascii="Arial" w:hAnsi="Arial" w:cs="Arial"/>
          <w:b/>
          <w:bCs/>
          <w:color w:val="1D2125"/>
          <w:sz w:val="22"/>
          <w:szCs w:val="22"/>
        </w:rPr>
        <w:t>FUNDAMENTACIÓN</w:t>
      </w:r>
    </w:p>
    <w:p w:rsidR="00B82F08" w:rsidRDefault="00B82F08" w:rsidP="00B82F0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B82F0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Los fundamentos de Radiología 1 se centran en la física de los rayos X, la formación de la imagen y la protección radiológica. Incluye el estudio de la producción de radiación, la interacción con la materia, el posicionamiento básico</w:t>
      </w:r>
      <w:r w:rsid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r w:rsidRPr="00B82F0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y la justificación/o</w:t>
      </w:r>
      <w:r w:rsid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ptimización.</w:t>
      </w:r>
    </w:p>
    <w:p w:rsidR="00B82F08" w:rsidRPr="00B82F08" w:rsidRDefault="00B82F0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6B59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Física de Rayos X:</w:t>
      </w:r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Los rayos X son radiación ionizante generada en un tubo de vac</w:t>
      </w:r>
      <w:r w:rsid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ío por el frenado de electrones.</w:t>
      </w:r>
    </w:p>
    <w:p w:rsidR="00B82F08" w:rsidRPr="00B82F08" w:rsidRDefault="00B82F0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6B59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Formación de Imagen:</w:t>
      </w:r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La imagen se basa en la atenuación diferencial de los rayos X al atravesar tejidos con distinta densidad (hueso, aire, agua, grasa).</w:t>
      </w:r>
    </w:p>
    <w:p w:rsidR="00B82F08" w:rsidRPr="00B82F08" w:rsidRDefault="00B82F0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6B59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 xml:space="preserve">Principios de Protección </w:t>
      </w:r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Justificación de la exposición, optimización de la dosis y limitación de la radiación.</w:t>
      </w:r>
    </w:p>
    <w:p w:rsidR="00B82F08" w:rsidRPr="00B82F08" w:rsidRDefault="00B82F0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6B59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Equipos y Posicionamiento:</w:t>
      </w:r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Uso de equipos convencionales (cátodo, ánodo, colimador) y proyecciones (AP, PA, lateral) para diagnosticar, principalmente, traumatismos y estructuras óseas.</w:t>
      </w:r>
    </w:p>
    <w:p w:rsidR="00B82F08" w:rsidRPr="006B5938" w:rsidRDefault="00B82F08" w:rsidP="006B593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B59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Componentes básicos:</w:t>
      </w:r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Incluye el estudio del átomo, espectro electromagnético y el efecto fotoeléctrico/</w:t>
      </w:r>
      <w:proofErr w:type="spellStart"/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Compton</w:t>
      </w:r>
      <w:proofErr w:type="spellEnd"/>
      <w:r w:rsidRPr="006B593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. </w:t>
      </w:r>
    </w:p>
    <w:p w:rsidR="004832F4" w:rsidRDefault="00B82F0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B82F08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Este campo se fundamenta en la seguridad, la anatomía radiológica y la comprensión de la física para la obtención de imágenes diagnósticas de calidad</w:t>
      </w:r>
    </w:p>
    <w:p w:rsidR="006B5938" w:rsidRPr="006B5938" w:rsidRDefault="006B5938" w:rsidP="006B59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</w:p>
    <w:p w:rsidR="004832F4" w:rsidRPr="004832F4" w:rsidRDefault="004832F4" w:rsidP="004832F4">
      <w:pPr>
        <w:spacing w:line="360" w:lineRule="auto"/>
        <w:ind w:left="31"/>
        <w:rPr>
          <w:rFonts w:ascii="Arial" w:hAnsi="Arial" w:cs="Arial"/>
        </w:rPr>
      </w:pPr>
      <w:r w:rsidRPr="004832F4">
        <w:rPr>
          <w:rFonts w:ascii="Arial" w:hAnsi="Arial" w:cs="Arial"/>
          <w:u w:val="single" w:color="000000"/>
        </w:rPr>
        <w:t>Objetivos:</w:t>
      </w:r>
    </w:p>
    <w:p w:rsidR="004832F4" w:rsidRPr="004832F4" w:rsidRDefault="004832F4" w:rsidP="004832F4">
      <w:pPr>
        <w:pStyle w:val="Prrafodelista"/>
        <w:numPr>
          <w:ilvl w:val="0"/>
          <w:numId w:val="3"/>
        </w:numPr>
        <w:spacing w:line="360" w:lineRule="auto"/>
        <w:ind w:right="21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Adquirir el conocimiento </w:t>
      </w:r>
      <w:r w:rsidR="00593837" w:rsidRPr="004832F4">
        <w:rPr>
          <w:rFonts w:ascii="Arial" w:hAnsi="Arial" w:cs="Arial"/>
        </w:rPr>
        <w:t>profesional y</w:t>
      </w:r>
      <w:r w:rsidRPr="004832F4">
        <w:rPr>
          <w:rFonts w:ascii="Arial" w:hAnsi="Arial" w:cs="Arial"/>
        </w:rPr>
        <w:t xml:space="preserve"> la praxis de la radiología digital y sus divisiones. </w:t>
      </w:r>
    </w:p>
    <w:p w:rsidR="004832F4" w:rsidRPr="004832F4" w:rsidRDefault="004832F4" w:rsidP="004832F4">
      <w:pPr>
        <w:pStyle w:val="Prrafodelista"/>
        <w:numPr>
          <w:ilvl w:val="0"/>
          <w:numId w:val="3"/>
        </w:numPr>
        <w:spacing w:line="360" w:lineRule="auto"/>
        <w:ind w:right="21"/>
        <w:rPr>
          <w:rFonts w:ascii="Arial" w:hAnsi="Arial" w:cs="Arial"/>
        </w:rPr>
      </w:pPr>
      <w:r w:rsidRPr="004832F4">
        <w:rPr>
          <w:noProof/>
        </w:rPr>
        <w:drawing>
          <wp:inline distT="0" distB="0" distL="0" distR="0" wp14:anchorId="0F8B3E14" wp14:editId="6BD9488D">
            <wp:extent cx="41128" cy="18269"/>
            <wp:effectExtent l="0" t="0" r="0" b="0"/>
            <wp:docPr id="33913" name="Picture 33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3" name="Picture 339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28" cy="1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2F4">
        <w:rPr>
          <w:rFonts w:ascii="Arial" w:hAnsi="Arial" w:cs="Arial"/>
        </w:rPr>
        <w:t xml:space="preserve"> Adquirir conocimientos teóricos - prácticos acerca del buen desempeño del Técnico </w:t>
      </w:r>
      <w:r>
        <w:rPr>
          <w:rFonts w:ascii="Arial" w:hAnsi="Arial" w:cs="Arial"/>
        </w:rPr>
        <w:t>en la producción de</w:t>
      </w:r>
      <w:r w:rsidRPr="004832F4">
        <w:rPr>
          <w:rFonts w:ascii="Arial" w:hAnsi="Arial" w:cs="Arial"/>
        </w:rPr>
        <w:t xml:space="preserve"> imágenes.</w:t>
      </w:r>
    </w:p>
    <w:p w:rsidR="004832F4" w:rsidRPr="004832F4" w:rsidRDefault="004832F4" w:rsidP="004832F4">
      <w:pPr>
        <w:spacing w:line="360" w:lineRule="auto"/>
        <w:ind w:left="133" w:right="21"/>
        <w:rPr>
          <w:rFonts w:ascii="Arial" w:hAnsi="Arial" w:cs="Arial"/>
        </w:rPr>
      </w:pPr>
      <w:r w:rsidRPr="004832F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09C12769" wp14:editId="5211A70F">
            <wp:simplePos x="0" y="0"/>
            <wp:positionH relativeFrom="column">
              <wp:posOffset>82257</wp:posOffset>
            </wp:positionH>
            <wp:positionV relativeFrom="paragraph">
              <wp:posOffset>77415</wp:posOffset>
            </wp:positionV>
            <wp:extent cx="233060" cy="91343"/>
            <wp:effectExtent l="0" t="0" r="0" b="0"/>
            <wp:wrapSquare wrapText="bothSides"/>
            <wp:docPr id="156644" name="Picture 156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" name="Picture 1566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060" cy="9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2F4">
        <w:rPr>
          <w:rFonts w:ascii="Arial" w:hAnsi="Arial" w:cs="Arial"/>
        </w:rPr>
        <w:t xml:space="preserve">Incorporar la importancia </w:t>
      </w:r>
      <w:r w:rsidR="00593837">
        <w:rPr>
          <w:rFonts w:ascii="Arial" w:hAnsi="Arial" w:cs="Arial"/>
        </w:rPr>
        <w:t xml:space="preserve">de las técnicas, </w:t>
      </w:r>
      <w:proofErr w:type="gramStart"/>
      <w:r w:rsidR="00593837">
        <w:rPr>
          <w:rFonts w:ascii="Arial" w:hAnsi="Arial" w:cs="Arial"/>
        </w:rPr>
        <w:t>procedimientos ,</w:t>
      </w:r>
      <w:proofErr w:type="gramEnd"/>
      <w:r w:rsidR="00593837">
        <w:rPr>
          <w:rFonts w:ascii="Arial" w:hAnsi="Arial" w:cs="Arial"/>
        </w:rPr>
        <w:t xml:space="preserve"> protocolos </w:t>
      </w:r>
      <w:r w:rsidRPr="004832F4">
        <w:rPr>
          <w:rFonts w:ascii="Arial" w:hAnsi="Arial" w:cs="Arial"/>
        </w:rPr>
        <w:t xml:space="preserve"> su estructura y funcionamiento, manejo de las herramientas utilizadas en </w:t>
      </w:r>
      <w:r w:rsidR="00593837" w:rsidRPr="004832F4">
        <w:rPr>
          <w:rFonts w:ascii="Arial" w:hAnsi="Arial" w:cs="Arial"/>
        </w:rPr>
        <w:t>diagnóstico</w:t>
      </w:r>
      <w:r w:rsidRPr="004832F4">
        <w:rPr>
          <w:rFonts w:ascii="Arial" w:hAnsi="Arial" w:cs="Arial"/>
        </w:rPr>
        <w:t xml:space="preserve"> por imágenes.</w:t>
      </w:r>
    </w:p>
    <w:p w:rsidR="006B5938" w:rsidRPr="004832F4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 xml:space="preserve">UNIDAD I: </w:t>
      </w:r>
      <w:proofErr w:type="gramStart"/>
      <w:r w:rsidR="0010239B" w:rsidRPr="004832F4">
        <w:rPr>
          <w:rFonts w:ascii="Arial" w:eastAsia="Times New Roman" w:hAnsi="Arial" w:cs="Arial"/>
          <w:b/>
          <w:lang w:val="es-ES_tradnl" w:eastAsia="es-ES"/>
        </w:rPr>
        <w:t>Metodología ,</w:t>
      </w:r>
      <w:proofErr w:type="gramEnd"/>
      <w:r w:rsidR="0010239B" w:rsidRPr="004832F4">
        <w:rPr>
          <w:rFonts w:ascii="Arial" w:eastAsia="Times New Roman" w:hAnsi="Arial" w:cs="Arial"/>
          <w:b/>
          <w:lang w:val="es-ES_tradnl" w:eastAsia="es-ES"/>
        </w:rPr>
        <w:t xml:space="preserve"> protocolo </w:t>
      </w:r>
    </w:p>
    <w:p w:rsidR="00325A69" w:rsidRPr="004832F4" w:rsidRDefault="0010239B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Respaso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Rayos X, formación de la imagen latente, centrado de </w:t>
      </w:r>
      <w:proofErr w:type="gramStart"/>
      <w:r w:rsidRPr="004832F4">
        <w:rPr>
          <w:rFonts w:ascii="Arial" w:eastAsia="Times New Roman" w:hAnsi="Arial" w:cs="Arial"/>
          <w:lang w:val="es-ES_tradnl" w:eastAsia="es-ES"/>
        </w:rPr>
        <w:t>tubos ,</w:t>
      </w:r>
      <w:proofErr w:type="gramEnd"/>
      <w:r w:rsidRPr="004832F4">
        <w:rPr>
          <w:rFonts w:ascii="Arial" w:eastAsia="Times New Roman" w:hAnsi="Arial" w:cs="Arial"/>
          <w:lang w:val="es-ES_tradnl" w:eastAsia="es-ES"/>
        </w:rPr>
        <w:t xml:space="preserve"> colimaciones y enfoques, </w:t>
      </w:r>
      <w:r w:rsidR="00325A69" w:rsidRPr="004832F4">
        <w:rPr>
          <w:rFonts w:ascii="Arial" w:eastAsia="Times New Roman" w:hAnsi="Arial" w:cs="Arial"/>
          <w:lang w:val="es-ES_tradnl" w:eastAsia="es-ES"/>
        </w:rPr>
        <w:t>Metodología de trabajo. Protocolo Radiográfico.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 II: TÉCNICAS CRANEALES BILATERALES</w:t>
      </w:r>
    </w:p>
    <w:p w:rsidR="00325A69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Cráneo de Frente (</w:t>
      </w:r>
      <w:proofErr w:type="spellStart"/>
      <w:proofErr w:type="gram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.-</w:t>
      </w:r>
      <w:proofErr w:type="gramEnd"/>
      <w:r w:rsidRPr="004832F4">
        <w:rPr>
          <w:rFonts w:ascii="Arial" w:eastAsia="Times New Roman" w:hAnsi="Arial" w:cs="Arial"/>
          <w:lang w:val="es-ES_tradnl" w:eastAsia="es-ES"/>
        </w:rPr>
        <w:t xml:space="preserve">Post. Y </w:t>
      </w:r>
      <w:proofErr w:type="gramStart"/>
      <w:r w:rsidRPr="004832F4">
        <w:rPr>
          <w:rFonts w:ascii="Arial" w:eastAsia="Times New Roman" w:hAnsi="Arial" w:cs="Arial"/>
          <w:lang w:val="es-ES_tradnl" w:eastAsia="es-ES"/>
        </w:rPr>
        <w:t>Post.-</w:t>
      </w:r>
      <w:proofErr w:type="spellStart"/>
      <w:proofErr w:type="gramEnd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Silla Turca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Mentó-Naso película.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Fronto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-Naso Película.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Water-Waldron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Método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Proetz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Blondeau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Hirsch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Caldwell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Caldwell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modificada.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Schüller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II.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Towne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Chamberlain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Towne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(Cráneo ANT-Post. Oblicuo).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Worms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Bretón (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Fronto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sub-occipital).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Altschull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Mahoney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Hirtz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Directa.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Hirtz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Invertida.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Maxilar Superior.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Gosserez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Órbitas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Tabique Nasal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r w:rsidRPr="004832F4">
        <w:rPr>
          <w:rFonts w:ascii="Arial" w:eastAsia="Times New Roman" w:hAnsi="Arial" w:cs="Arial"/>
          <w:lang w:val="es-ES_tradnl" w:eastAsia="es-ES"/>
        </w:rPr>
        <w:lastRenderedPageBreak/>
        <w:t xml:space="preserve">Maxilar Inferior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Agujeros Rasgados Posteriores.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Estudio Tangencial de la Bóveda Craneal.  </w:t>
      </w:r>
    </w:p>
    <w:p w:rsidR="006B5938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B5938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B5938" w:rsidRPr="004832F4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TÉCNICAS CRANEALES UNILATERALES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Cráneo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Silla Turca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Cavun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con y sin contraste.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Schüller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I.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Stenvers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I y II.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Guillén.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Chausse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III y IV.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Zimmer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Mayer.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Rhese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Hartman.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Orbita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Huesos Propios de la Nariz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del Maxilar Inferior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Hendidura Esfenoidal.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Articulación Temperó-Maxilar.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Cóndilo grafía.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Palatografía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 xml:space="preserve">UNIDAD </w:t>
      </w:r>
      <w:r w:rsidR="0010239B" w:rsidRPr="004832F4">
        <w:rPr>
          <w:rFonts w:ascii="Arial" w:eastAsia="Times New Roman" w:hAnsi="Arial" w:cs="Arial"/>
          <w:b/>
          <w:lang w:val="es-ES_tradnl" w:eastAsia="es-ES"/>
        </w:rPr>
        <w:t xml:space="preserve">III </w:t>
      </w:r>
      <w:r w:rsidRPr="004832F4">
        <w:rPr>
          <w:rFonts w:ascii="Arial" w:eastAsia="Times New Roman" w:hAnsi="Arial" w:cs="Arial"/>
          <w:b/>
          <w:lang w:val="es-ES_tradnl" w:eastAsia="es-ES"/>
        </w:rPr>
        <w:t>TÉCNICAS DEL SEGMENTO CERVICAL DEL RAQUIS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oblicuas.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integral.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Transoral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funcional de frente (derecha e izquierda).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cervical funcional de perfil (derecha e izquierda).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Masas Laterales.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 xml:space="preserve">UNIDAD </w:t>
      </w:r>
      <w:r w:rsidR="0010239B" w:rsidRPr="004832F4">
        <w:rPr>
          <w:rFonts w:ascii="Arial" w:eastAsia="Times New Roman" w:hAnsi="Arial" w:cs="Arial"/>
          <w:b/>
          <w:lang w:val="es-ES_tradnl" w:eastAsia="es-ES"/>
        </w:rPr>
        <w:t>I</w:t>
      </w:r>
      <w:r w:rsidRPr="004832F4">
        <w:rPr>
          <w:rFonts w:ascii="Arial" w:eastAsia="Times New Roman" w:hAnsi="Arial" w:cs="Arial"/>
          <w:b/>
          <w:lang w:val="es-ES_tradnl" w:eastAsia="es-ES"/>
        </w:rPr>
        <w:t>V: TÉCNICAS DEL SEGMENTO DORSAL DEL RAQUIS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Dorsal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Dorsal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Dorsal oblicuas.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del Primero y Segundo elemento de la columna dorsal de perfil (Técnicas del Nadador)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10239B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 V</w:t>
      </w:r>
      <w:r w:rsidR="00325A69" w:rsidRPr="004832F4">
        <w:rPr>
          <w:rFonts w:ascii="Arial" w:eastAsia="Times New Roman" w:hAnsi="Arial" w:cs="Arial"/>
          <w:b/>
          <w:lang w:val="es-ES_tradnl" w:eastAsia="es-ES"/>
        </w:rPr>
        <w:t>: TÉCNICAS DEL SEGMENTO LUMBAR DEL RAQUIS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4832F4">
        <w:rPr>
          <w:rFonts w:ascii="Arial" w:eastAsia="Times New Roman" w:hAnsi="Arial" w:cs="Arial"/>
          <w:lang w:val="es-ES_tradnl" w:eastAsia="es-ES"/>
        </w:rPr>
        <w:t xml:space="preserve">Preparación.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Lumbar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Lumbar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lumbar funcional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lumbar funcional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lumbar oblicuas.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Fergusson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Fergusson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Modificada.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particularizada.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Espinografía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Radiografía para escoliosis. 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TÉCNICAS DEL SEGMENTO SACRO-COCCÍGEO DEL RAQUIS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Sacra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Sacra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Articulación Sacro-Iliaca.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Columna Coccígea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Columna Coccígea de perfil.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10239B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 VI</w:t>
      </w:r>
      <w:r w:rsidR="00325A69" w:rsidRPr="004832F4">
        <w:rPr>
          <w:rFonts w:ascii="Arial" w:eastAsia="Times New Roman" w:hAnsi="Arial" w:cs="Arial"/>
          <w:b/>
          <w:lang w:val="es-ES_tradnl" w:eastAsia="es-ES"/>
        </w:rPr>
        <w:t>: TÉCNICAS DEL MIEMBRO SUPERIOR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Hombro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con Rotación Externa.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con Rotación Interna.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con Rotación Indiferente.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con Rotación Neutra.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Axilar o Vuelo de Pájaro.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Transtorácico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Lawrence.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West Point.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Grashey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Fisk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Axial Antero-Posterior Apical de Hombro.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Stryker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Velpeau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-View.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Caudo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-Craneal a 20 grados.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Hombro Cráneo- Caudal a 30 grados.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Escápula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Escápula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Clavícula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Articulación Acromio-Clavicular.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Brazo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Brazo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Brazo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transtorácico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Codo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Codo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Codo Axial.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Codo Tangencial.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Antebrazo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Antebrazo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Antebrazo oblicua.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Muñeca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Muñeca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Escafoides.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Túnel Carpiano.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Mano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Mano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Mano Oblicua.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del Beisbolista.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los Dedos de la Mano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los Dedos de la Mano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los Dedos de la Mano Oblicuas.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 xml:space="preserve">UNIDAD </w:t>
      </w:r>
      <w:r w:rsidR="0010239B" w:rsidRPr="004832F4">
        <w:rPr>
          <w:rFonts w:ascii="Arial" w:eastAsia="Times New Roman" w:hAnsi="Arial" w:cs="Arial"/>
          <w:b/>
          <w:lang w:val="es-ES_tradnl" w:eastAsia="es-ES"/>
        </w:rPr>
        <w:t>VII</w:t>
      </w:r>
      <w:r w:rsidRPr="004832F4">
        <w:rPr>
          <w:rFonts w:ascii="Arial" w:eastAsia="Times New Roman" w:hAnsi="Arial" w:cs="Arial"/>
          <w:b/>
          <w:lang w:val="es-ES_tradnl" w:eastAsia="es-ES"/>
        </w:rPr>
        <w:t>: TÉCNICAS DEL MIEMBRO INFERIOR</w:t>
      </w:r>
    </w:p>
    <w:p w:rsidR="00325A69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Articulación Coxofemoral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Loweztein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la Articulación Coxofemoral de perfil en Quirófano.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Muslo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Muslo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Rodilla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Rodilla de perfil. Rodilla de perfil de 30 grados.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Rótula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Rótula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Rótula Tangencial.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Jaroskhy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Fosa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Intercondilia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del Sol Naciente.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Monopodalica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</w:t>
      </w:r>
      <w:r w:rsidRPr="004832F4">
        <w:rPr>
          <w:rFonts w:ascii="Arial" w:eastAsia="Times New Roman" w:hAnsi="Arial" w:cs="Arial"/>
          <w:lang w:val="es-ES_tradnl" w:eastAsia="es-ES"/>
        </w:rPr>
        <w:lastRenderedPageBreak/>
        <w:t xml:space="preserve">Rodilla.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del Bostezo.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Pierna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Pierna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Tobillo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Tobillo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Tobillo de Oblicuo Izquierdo y Derecho.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Calcáneo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Calcáneo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Calcáneo Axial del Esgrimista o de Harris.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 Oblicuo.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 con Carga y con Apoyo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Pie con Carga y con Apoyo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Huesos Sesamoideos del Pie.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Estudio de Medición de Miembros (Técnicas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O’Farrel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).</w:t>
      </w:r>
    </w:p>
    <w:p w:rsidR="006B5938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B5938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B5938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B5938" w:rsidRPr="004832F4" w:rsidRDefault="006B5938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</w:t>
      </w:r>
      <w:r w:rsidR="0010239B" w:rsidRPr="004832F4">
        <w:rPr>
          <w:rFonts w:ascii="Arial" w:eastAsia="Times New Roman" w:hAnsi="Arial" w:cs="Arial"/>
          <w:b/>
          <w:lang w:val="es-ES_tradnl" w:eastAsia="es-ES"/>
        </w:rPr>
        <w:t xml:space="preserve"> VIII</w:t>
      </w:r>
      <w:r w:rsidRPr="004832F4">
        <w:rPr>
          <w:rFonts w:ascii="Arial" w:eastAsia="Times New Roman" w:hAnsi="Arial" w:cs="Arial"/>
          <w:b/>
          <w:lang w:val="es-ES_tradnl" w:eastAsia="es-ES"/>
        </w:rPr>
        <w:t>: TÉCNICAS DE LA CINTURA PELVIANA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Pelvis de Frente (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-post), en Decúbito Dorsal </w:t>
      </w:r>
      <w:proofErr w:type="gramStart"/>
      <w:r w:rsidRPr="004832F4">
        <w:rPr>
          <w:rFonts w:ascii="Arial" w:eastAsia="Times New Roman" w:hAnsi="Arial" w:cs="Arial"/>
          <w:lang w:val="es-ES_tradnl" w:eastAsia="es-ES"/>
        </w:rPr>
        <w:t>y ,</w:t>
      </w:r>
      <w:proofErr w:type="gramEnd"/>
      <w:r w:rsidRPr="004832F4">
        <w:rPr>
          <w:rFonts w:ascii="Arial" w:eastAsia="Times New Roman" w:hAnsi="Arial" w:cs="Arial"/>
          <w:lang w:val="es-ES_tradnl" w:eastAsia="es-ES"/>
        </w:rPr>
        <w:t xml:space="preserve"> en Bipedestación. </w:t>
      </w:r>
      <w:r w:rsidRPr="004832F4">
        <w:rPr>
          <w:rFonts w:ascii="Arial" w:eastAsia="Times New Roman" w:hAnsi="Arial" w:cs="Arial"/>
          <w:lang w:val="pt-BR" w:eastAsia="es-ES"/>
        </w:rPr>
        <w:t xml:space="preserve">Téc. </w:t>
      </w:r>
      <w:proofErr w:type="gramStart"/>
      <w:r w:rsidRPr="004832F4">
        <w:rPr>
          <w:rFonts w:ascii="Arial" w:eastAsia="Times New Roman" w:hAnsi="Arial" w:cs="Arial"/>
          <w:lang w:val="pt-BR" w:eastAsia="es-ES"/>
        </w:rPr>
        <w:t>de</w:t>
      </w:r>
      <w:proofErr w:type="gramEnd"/>
      <w:r w:rsidRPr="004832F4">
        <w:rPr>
          <w:rFonts w:ascii="Arial" w:eastAsia="Times New Roman" w:hAnsi="Arial" w:cs="Arial"/>
          <w:lang w:val="pt-BR" w:eastAsia="es-ES"/>
        </w:rPr>
        <w:t xml:space="preserve">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Pelvis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de Perfil o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Loweztein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Téc. </w:t>
      </w:r>
      <w:proofErr w:type="spellStart"/>
      <w:proofErr w:type="gramStart"/>
      <w:r w:rsidRPr="004832F4">
        <w:rPr>
          <w:rFonts w:ascii="Arial" w:eastAsia="Times New Roman" w:hAnsi="Arial" w:cs="Arial"/>
          <w:lang w:val="pt-BR" w:eastAsia="es-ES"/>
        </w:rPr>
        <w:t>Loweztein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Modificada</w:t>
      </w:r>
      <w:proofErr w:type="gramEnd"/>
      <w:r w:rsidRPr="004832F4"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de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Loweztein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o Pata de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rana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proofErr w:type="gramStart"/>
      <w:r w:rsidRPr="004832F4">
        <w:rPr>
          <w:rFonts w:ascii="Arial" w:eastAsia="Times New Roman" w:hAnsi="Arial" w:cs="Arial"/>
          <w:lang w:val="pt-BR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Axial</w:t>
      </w:r>
      <w:proofErr w:type="gramEnd"/>
      <w:r w:rsidRPr="004832F4">
        <w:rPr>
          <w:rFonts w:ascii="Arial" w:eastAsia="Times New Roman" w:hAnsi="Arial" w:cs="Arial"/>
          <w:lang w:val="pt-BR" w:eastAsia="es-ES"/>
        </w:rPr>
        <w:t xml:space="preserve"> o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Quirúrgica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Téc. </w:t>
      </w:r>
      <w:proofErr w:type="gramStart"/>
      <w:r w:rsidRPr="004832F4">
        <w:rPr>
          <w:rFonts w:ascii="Arial" w:eastAsia="Times New Roman" w:hAnsi="Arial" w:cs="Arial"/>
          <w:lang w:val="pt-BR" w:eastAsia="es-ES"/>
        </w:rPr>
        <w:t>de</w:t>
      </w:r>
      <w:proofErr w:type="gramEnd"/>
      <w:r w:rsidRPr="004832F4">
        <w:rPr>
          <w:rFonts w:ascii="Arial" w:eastAsia="Times New Roman" w:hAnsi="Arial" w:cs="Arial"/>
          <w:lang w:val="pt-BR" w:eastAsia="es-ES"/>
        </w:rPr>
        <w:t xml:space="preserve">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Pelvis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oblicua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de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Agujero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Obturados de frente. Téc. Alar o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Judet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Téc.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Obturatriz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pt-BR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pt-BR" w:eastAsia="es-ES"/>
        </w:rPr>
        <w:t xml:space="preserve"> In Let. Téc. </w:t>
      </w:r>
      <w:r w:rsidRPr="004832F4">
        <w:rPr>
          <w:rFonts w:ascii="Arial" w:eastAsia="Times New Roman" w:hAnsi="Arial" w:cs="Arial"/>
          <w:lang w:val="es-ES_tradnl" w:eastAsia="es-ES"/>
        </w:rPr>
        <w:t xml:space="preserve">De Van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Rossen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o con abducción de 90 grados.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Pubis Axial o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semiortopedica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Coxometría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Artografía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(estudios de las articulaciones). 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10239B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 IX</w:t>
      </w:r>
      <w:r w:rsidR="00325A69" w:rsidRPr="004832F4">
        <w:rPr>
          <w:rFonts w:ascii="Arial" w:eastAsia="Times New Roman" w:hAnsi="Arial" w:cs="Arial"/>
          <w:b/>
          <w:lang w:val="es-ES_tradnl" w:eastAsia="es-ES"/>
        </w:rPr>
        <w:t>: TÉCNICAS DEL TÓRAX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Panorámica de tórax.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Telerradiografia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tórax.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tórax de frente (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-Post. Y Post-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) en Bipedestación y en Decúbito Dorsal.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tórax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tórax oblicuo Anterior Derecho.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tórax Oblicuo anterior izquierdo.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</w:t>
      </w:r>
      <w:proofErr w:type="spellStart"/>
      <w:proofErr w:type="gramStart"/>
      <w:r w:rsidRPr="004832F4">
        <w:rPr>
          <w:rFonts w:ascii="Arial" w:eastAsia="Times New Roman" w:hAnsi="Arial" w:cs="Arial"/>
          <w:lang w:val="es-ES_tradnl" w:eastAsia="es-ES"/>
        </w:rPr>
        <w:t>Esófagograma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.</w:t>
      </w:r>
      <w:proofErr w:type="gramEnd"/>
      <w:r w:rsidRPr="004832F4">
        <w:rPr>
          <w:rFonts w:ascii="Arial" w:eastAsia="Times New Roman" w:hAnsi="Arial" w:cs="Arial"/>
          <w:lang w:val="es-ES_tradnl" w:eastAsia="es-ES"/>
        </w:rPr>
        <w:t xml:space="preserve">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Vértice Pulmonar: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lumbago hueco.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Lordótica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Apical.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del espacio aéreo.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esternón de frente.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esternón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parrilla costal de frente (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-</w:t>
      </w:r>
      <w:proofErr w:type="gramStart"/>
      <w:r w:rsidRPr="004832F4">
        <w:rPr>
          <w:rFonts w:ascii="Arial" w:eastAsia="Times New Roman" w:hAnsi="Arial" w:cs="Arial"/>
          <w:lang w:val="es-ES_tradnl" w:eastAsia="es-ES"/>
        </w:rPr>
        <w:t>Post .</w:t>
      </w:r>
      <w:proofErr w:type="gramEnd"/>
      <w:r w:rsidRPr="004832F4">
        <w:rPr>
          <w:rFonts w:ascii="Arial" w:eastAsia="Times New Roman" w:hAnsi="Arial" w:cs="Arial"/>
          <w:lang w:val="es-ES_tradnl" w:eastAsia="es-ES"/>
        </w:rPr>
        <w:t xml:space="preserve"> Post-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y Oblicua).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4832F4">
        <w:rPr>
          <w:rFonts w:ascii="Arial" w:eastAsia="Times New Roman" w:hAnsi="Arial" w:cs="Arial"/>
          <w:b/>
          <w:lang w:val="es-ES_tradnl" w:eastAsia="es-ES"/>
        </w:rPr>
        <w:t>UNIDAD X: TÉCNICAS DEL ABDOMEN</w:t>
      </w: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4832F4">
        <w:rPr>
          <w:rFonts w:ascii="Arial" w:eastAsia="Times New Roman" w:hAnsi="Arial" w:cs="Arial"/>
          <w:lang w:val="es-ES_tradnl" w:eastAsia="es-ES"/>
        </w:rPr>
        <w:t xml:space="preserve">Preparación previa del paciente.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directa de abdomen.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abdomen en Bipedestación.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abdomen en Decúbito Dorsal.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abdomen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abdomen (Post-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Ant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).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. De abdomen de decúbito dorsal con rayo horizontal.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abdomen oblicuo. Radiografía en el embarazo: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de embarazo de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fente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 xml:space="preserve"> y de perfil. </w:t>
      </w:r>
      <w:proofErr w:type="spellStart"/>
      <w:r w:rsidRPr="004832F4">
        <w:rPr>
          <w:rFonts w:ascii="Arial" w:eastAsia="Times New Roman" w:hAnsi="Arial" w:cs="Arial"/>
          <w:lang w:val="es-ES_tradnl" w:eastAsia="es-ES"/>
        </w:rPr>
        <w:t>Téc</w:t>
      </w:r>
      <w:proofErr w:type="spellEnd"/>
      <w:r w:rsidRPr="004832F4">
        <w:rPr>
          <w:rFonts w:ascii="Arial" w:eastAsia="Times New Roman" w:hAnsi="Arial" w:cs="Arial"/>
          <w:lang w:val="es-ES_tradnl" w:eastAsia="es-ES"/>
        </w:rPr>
        <w:t>. de embarazo del Embudo Pelviano.</w:t>
      </w:r>
    </w:p>
    <w:p w:rsidR="00593837" w:rsidRDefault="00593837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593837" w:rsidRPr="004832F4" w:rsidRDefault="00593837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832F4" w:rsidRPr="004832F4" w:rsidRDefault="004832F4" w:rsidP="004832F4">
      <w:pPr>
        <w:spacing w:after="306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t>CONTENIDOS PROCEDIMENTALES:</w:t>
      </w: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</w:rPr>
        <w:t>•</w:t>
      </w:r>
      <w:r w:rsidRPr="004832F4">
        <w:rPr>
          <w:rFonts w:ascii="Arial" w:hAnsi="Arial" w:cs="Arial"/>
        </w:rPr>
        <w:t xml:space="preserve">Traspaso de la teoría a la práctica.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•Planificación de las tareas de </w:t>
      </w:r>
      <w:proofErr w:type="spellStart"/>
      <w:r w:rsidRPr="004832F4">
        <w:rPr>
          <w:rFonts w:ascii="Arial" w:hAnsi="Arial" w:cs="Arial"/>
        </w:rPr>
        <w:t>practicas</w:t>
      </w:r>
      <w:proofErr w:type="spellEnd"/>
      <w:r w:rsidRPr="004832F4">
        <w:rPr>
          <w:rFonts w:ascii="Arial" w:hAnsi="Arial" w:cs="Arial"/>
        </w:rPr>
        <w:t xml:space="preserve"> en </w:t>
      </w:r>
      <w:proofErr w:type="spellStart"/>
      <w:r w:rsidRPr="004832F4">
        <w:rPr>
          <w:rFonts w:ascii="Arial" w:hAnsi="Arial" w:cs="Arial"/>
        </w:rPr>
        <w:t>radiologia</w:t>
      </w:r>
      <w:proofErr w:type="spellEnd"/>
      <w:r w:rsidRPr="004832F4">
        <w:rPr>
          <w:rFonts w:ascii="Arial" w:hAnsi="Arial" w:cs="Arial"/>
        </w:rPr>
        <w:t xml:space="preserve">. </w:t>
      </w:r>
    </w:p>
    <w:p w:rsidR="004832F4" w:rsidRPr="004832F4" w:rsidRDefault="004832F4" w:rsidP="004832F4">
      <w:pPr>
        <w:spacing w:after="201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•Aprendizaje un lenguaje compartido con los otros profesionales de la salud: técnicos, docentes y equipo de salud, lo cual facilitará enormemente la transmisión de ideas y conceptos didácticos relacionados con la actividad. </w:t>
      </w:r>
    </w:p>
    <w:p w:rsidR="004832F4" w:rsidRPr="004832F4" w:rsidRDefault="004832F4" w:rsidP="006B5938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>•Uso de la normativa en las producciones escritas</w:t>
      </w:r>
      <w:r w:rsidRPr="004832F4">
        <w:rPr>
          <w:rFonts w:ascii="Arial" w:eastAsia="Bookman Old Style" w:hAnsi="Arial" w:cs="Arial"/>
          <w:b/>
        </w:rPr>
        <w:t xml:space="preserve">. </w:t>
      </w:r>
    </w:p>
    <w:p w:rsidR="004832F4" w:rsidRPr="004832F4" w:rsidRDefault="004832F4" w:rsidP="004832F4">
      <w:pPr>
        <w:spacing w:after="306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t>CONTENIDOS ACTITUDINALES:</w:t>
      </w: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Confianza en las posibilidades de plantear y resolver problemas.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Seguridad en la defensa de sus argumentos y flexibilidad para modificarlas.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lastRenderedPageBreak/>
        <w:t xml:space="preserve">Reflexión crítica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Respeto por las producciones de los compañeros.  </w:t>
      </w:r>
    </w:p>
    <w:p w:rsidR="004832F4" w:rsidRPr="004832F4" w:rsidRDefault="004832F4" w:rsidP="004832F4">
      <w:pPr>
        <w:spacing w:after="202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Aceptación y valoración del aporte de los compañeros en situaciones concretas de comunicación.  </w:t>
      </w:r>
    </w:p>
    <w:p w:rsidR="006B5938" w:rsidRDefault="004832F4" w:rsidP="005E5DD1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Valoración de la ortografía como condición de los trabajos escritos. </w:t>
      </w:r>
    </w:p>
    <w:p w:rsidR="005E5DD1" w:rsidRPr="00593837" w:rsidRDefault="005E5DD1" w:rsidP="005E5DD1">
      <w:pPr>
        <w:spacing w:line="360" w:lineRule="auto"/>
        <w:ind w:left="-5"/>
        <w:rPr>
          <w:rFonts w:ascii="Arial" w:hAnsi="Arial" w:cs="Arial"/>
        </w:rPr>
      </w:pPr>
    </w:p>
    <w:p w:rsidR="004832F4" w:rsidRPr="004832F4" w:rsidRDefault="004832F4" w:rsidP="004832F4">
      <w:pPr>
        <w:spacing w:after="306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t>ESTRATEGIAS METODOLÓGICAS:</w:t>
      </w: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>Se emplearán las siguientes estrategias de enseñanza en una modalidad combinada, es decir en forma presencial y virtual.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La exposición.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Instrucción directa.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Resolución de problemas.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Descubrimiento guiado.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Explicación.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Ejemplificación.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Diálogo. </w:t>
      </w:r>
    </w:p>
    <w:p w:rsidR="004832F4" w:rsidRPr="004832F4" w:rsidRDefault="004832F4" w:rsidP="004832F4">
      <w:pPr>
        <w:numPr>
          <w:ilvl w:val="0"/>
          <w:numId w:val="1"/>
        </w:numPr>
        <w:spacing w:after="304" w:line="360" w:lineRule="auto"/>
        <w:ind w:hanging="228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Seminarios. </w:t>
      </w:r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Haciendo uso en todo momento de recursos informáticos por partes del docente y del alumnado. </w:t>
      </w:r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 fines de cumplimentar la modalidad combinada se dictarán tres horas cátedra en forma presencial y </w:t>
      </w:r>
      <w:proofErr w:type="gramStart"/>
      <w:r w:rsidRPr="004832F4">
        <w:rPr>
          <w:rFonts w:ascii="Arial" w:hAnsi="Arial" w:cs="Arial"/>
        </w:rPr>
        <w:t>las tres restantes</w:t>
      </w:r>
      <w:proofErr w:type="gramEnd"/>
      <w:r w:rsidRPr="004832F4">
        <w:rPr>
          <w:rFonts w:ascii="Arial" w:hAnsi="Arial" w:cs="Arial"/>
        </w:rPr>
        <w:t xml:space="preserve"> en formato virtual sincrónico y asincrónico, mediante la plataforma educativa virtual ELÉ, provista por </w:t>
      </w:r>
      <w:proofErr w:type="spellStart"/>
      <w:r w:rsidRPr="004832F4">
        <w:rPr>
          <w:rFonts w:ascii="Arial" w:hAnsi="Arial" w:cs="Arial"/>
        </w:rPr>
        <w:t>MECCyT</w:t>
      </w:r>
      <w:proofErr w:type="spellEnd"/>
      <w:r w:rsidRPr="004832F4">
        <w:rPr>
          <w:rFonts w:ascii="Arial" w:hAnsi="Arial" w:cs="Arial"/>
        </w:rPr>
        <w:t xml:space="preserve"> de la Provincia del Pueblo de Chaco. </w:t>
      </w:r>
    </w:p>
    <w:p w:rsidR="004832F4" w:rsidRDefault="004832F4" w:rsidP="004832F4">
      <w:pPr>
        <w:spacing w:after="306" w:line="360" w:lineRule="auto"/>
        <w:rPr>
          <w:rFonts w:ascii="Arial" w:eastAsia="Bookman Old Style" w:hAnsi="Arial" w:cs="Arial"/>
          <w:b/>
        </w:rPr>
      </w:pPr>
      <w:r w:rsidRPr="004832F4">
        <w:rPr>
          <w:rFonts w:ascii="Arial" w:eastAsia="Bookman Old Style" w:hAnsi="Arial" w:cs="Arial"/>
          <w:b/>
        </w:rPr>
        <w:t xml:space="preserve"> </w:t>
      </w:r>
    </w:p>
    <w:p w:rsidR="005E5DD1" w:rsidRPr="004832F4" w:rsidRDefault="005E5DD1" w:rsidP="004832F4">
      <w:pPr>
        <w:spacing w:after="306" w:line="360" w:lineRule="auto"/>
        <w:rPr>
          <w:rFonts w:ascii="Arial" w:hAnsi="Arial" w:cs="Arial"/>
        </w:rPr>
      </w:pPr>
    </w:p>
    <w:p w:rsidR="004832F4" w:rsidRPr="004832F4" w:rsidRDefault="004832F4" w:rsidP="004832F4">
      <w:pPr>
        <w:spacing w:after="306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lastRenderedPageBreak/>
        <w:t>RECURSOS MATERIALES:</w:t>
      </w: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after="202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Pizarra, marcadores, proyector, </w:t>
      </w:r>
      <w:proofErr w:type="spellStart"/>
      <w:r w:rsidRPr="004832F4">
        <w:rPr>
          <w:rFonts w:ascii="Arial" w:hAnsi="Arial" w:cs="Arial"/>
        </w:rPr>
        <w:t>smart</w:t>
      </w:r>
      <w:proofErr w:type="spellEnd"/>
      <w:r w:rsidRPr="004832F4">
        <w:rPr>
          <w:rFonts w:ascii="Arial" w:hAnsi="Arial" w:cs="Arial"/>
        </w:rPr>
        <w:t xml:space="preserve">-TV, láminas, otros. Fotocopias, lapiceras, carpetas. </w:t>
      </w:r>
    </w:p>
    <w:p w:rsidR="004832F4" w:rsidRDefault="004832F4" w:rsidP="004832F4">
      <w:pPr>
        <w:spacing w:after="201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Dispositivos informáticos, conectividad a internet, aulas virtuales en plataforma educativa virtual, memorias físicas y virtuales. </w:t>
      </w:r>
    </w:p>
    <w:p w:rsidR="00593837" w:rsidRPr="004832F4" w:rsidRDefault="00593837" w:rsidP="004832F4">
      <w:pPr>
        <w:spacing w:after="201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Practicas entre pares a través de simulacros en el aula o en los centros de salud</w:t>
      </w:r>
    </w:p>
    <w:p w:rsidR="006B5938" w:rsidRPr="004832F4" w:rsidRDefault="004832F4" w:rsidP="00593837">
      <w:pPr>
        <w:spacing w:after="306" w:line="360" w:lineRule="auto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</w:rPr>
        <w:t xml:space="preserve">  </w:t>
      </w:r>
    </w:p>
    <w:p w:rsidR="004832F4" w:rsidRPr="004832F4" w:rsidRDefault="004832F4" w:rsidP="004832F4">
      <w:pPr>
        <w:spacing w:after="306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t>CRITERIOS DE EVALUACIÓN</w:t>
      </w: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Capacidad para: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Dominar los contenidos del espacio.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Discutir grupalmente el material bibliográfico.  </w:t>
      </w:r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Cumplimentar las cláusulas normativas convencionales e institucionales para la presentación de producciones.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Usar correctamente las normas ortográficas y terminológicas. </w:t>
      </w:r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Presentación en tiempo y forma de trabajos prácticos escritos, grupales y /o individuales.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Presentaciones orales grupales de temas seleccionados.  </w:t>
      </w:r>
    </w:p>
    <w:p w:rsidR="004832F4" w:rsidRPr="004832F4" w:rsidRDefault="004832F4" w:rsidP="004832F4">
      <w:pPr>
        <w:spacing w:after="202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Participación activa y responsable en el aula física y/o virtual, en trabajos prácticos grupales.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Respeto a los docentes, bedeles, y para con sus pares.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Integración de diversos contenidos.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Ochenta por ciento de asistencia en modalidad presencial.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Ochenta por ciento de asistencia en modalidad virtual. </w:t>
      </w:r>
    </w:p>
    <w:p w:rsidR="004832F4" w:rsidRPr="004832F4" w:rsidRDefault="004832F4" w:rsidP="004832F4">
      <w:pPr>
        <w:spacing w:after="202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Aprobación con el 60% de tres exámenes parciales escritos u orales, o sus correspondientes instancias de </w:t>
      </w:r>
      <w:proofErr w:type="spellStart"/>
      <w:r w:rsidRPr="004832F4">
        <w:rPr>
          <w:rFonts w:ascii="Arial" w:hAnsi="Arial" w:cs="Arial"/>
        </w:rPr>
        <w:t>recuperatorios</w:t>
      </w:r>
      <w:proofErr w:type="spellEnd"/>
      <w:r w:rsidRPr="004832F4">
        <w:rPr>
          <w:rFonts w:ascii="Arial" w:hAnsi="Arial" w:cs="Arial"/>
        </w:rPr>
        <w:t xml:space="preserve"> no acumulativos. 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Aprobación de evaluación integradora. </w:t>
      </w:r>
    </w:p>
    <w:p w:rsidR="004832F4" w:rsidRPr="004832F4" w:rsidRDefault="004832F4" w:rsidP="004832F4">
      <w:pPr>
        <w:spacing w:after="307" w:line="360" w:lineRule="auto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</w:rPr>
        <w:t xml:space="preserve"> </w:t>
      </w:r>
    </w:p>
    <w:p w:rsidR="004832F4" w:rsidRPr="004832F4" w:rsidRDefault="004832F4" w:rsidP="004832F4">
      <w:pPr>
        <w:spacing w:after="358" w:line="360" w:lineRule="auto"/>
        <w:ind w:left="-5"/>
        <w:rPr>
          <w:rFonts w:ascii="Arial" w:hAnsi="Arial" w:cs="Arial"/>
        </w:rPr>
      </w:pPr>
      <w:r w:rsidRPr="004832F4">
        <w:rPr>
          <w:rFonts w:ascii="Arial" w:eastAsia="Bookman Old Style" w:hAnsi="Arial" w:cs="Arial"/>
          <w:b/>
          <w:u w:val="single" w:color="000000"/>
        </w:rPr>
        <w:lastRenderedPageBreak/>
        <w:t>INSTRUMENTOS DE EVALUACIÓN:</w:t>
      </w:r>
      <w:r w:rsidRPr="004832F4">
        <w:rPr>
          <w:rFonts w:ascii="Arial" w:eastAsia="Bookman Old Style" w:hAnsi="Arial" w:cs="Arial"/>
          <w:b/>
        </w:rPr>
        <w:t xml:space="preserve">  </w:t>
      </w:r>
    </w:p>
    <w:p w:rsidR="004832F4" w:rsidRPr="004832F4" w:rsidRDefault="004832F4" w:rsidP="004832F4">
      <w:pPr>
        <w:numPr>
          <w:ilvl w:val="0"/>
          <w:numId w:val="2"/>
        </w:numPr>
        <w:spacing w:after="127" w:line="360" w:lineRule="auto"/>
        <w:ind w:hanging="360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Cuaderno de clases </w:t>
      </w:r>
    </w:p>
    <w:p w:rsidR="004832F4" w:rsidRPr="004832F4" w:rsidRDefault="004832F4" w:rsidP="004832F4">
      <w:pPr>
        <w:numPr>
          <w:ilvl w:val="0"/>
          <w:numId w:val="2"/>
        </w:numPr>
        <w:spacing w:after="125" w:line="360" w:lineRule="auto"/>
        <w:ind w:hanging="360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Exámenes orales y escritos </w:t>
      </w:r>
    </w:p>
    <w:p w:rsidR="004832F4" w:rsidRPr="004832F4" w:rsidRDefault="004832F4" w:rsidP="004832F4">
      <w:pPr>
        <w:numPr>
          <w:ilvl w:val="0"/>
          <w:numId w:val="2"/>
        </w:numPr>
        <w:spacing w:after="125" w:line="360" w:lineRule="auto"/>
        <w:ind w:hanging="360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Trabajos de investigación </w:t>
      </w:r>
    </w:p>
    <w:p w:rsidR="004832F4" w:rsidRPr="004832F4" w:rsidRDefault="004832F4" w:rsidP="004832F4">
      <w:pPr>
        <w:numPr>
          <w:ilvl w:val="0"/>
          <w:numId w:val="2"/>
        </w:numPr>
        <w:spacing w:after="304" w:line="360" w:lineRule="auto"/>
        <w:ind w:hanging="360"/>
        <w:jc w:val="both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Desarrollo de temas en grupos </w:t>
      </w:r>
    </w:p>
    <w:p w:rsidR="006B5938" w:rsidRPr="004832F4" w:rsidRDefault="004832F4" w:rsidP="005E5DD1">
      <w:pPr>
        <w:spacing w:line="360" w:lineRule="auto"/>
        <w:ind w:left="1798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 </w:t>
      </w:r>
      <w:bookmarkStart w:id="0" w:name="_GoBack"/>
      <w:bookmarkEnd w:id="0"/>
    </w:p>
    <w:p w:rsidR="004832F4" w:rsidRPr="004832F4" w:rsidRDefault="004832F4" w:rsidP="004832F4">
      <w:pPr>
        <w:spacing w:after="197"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1-Parciales individuales escritos y eventualmente orales, en modalidad presencial y virtual.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2-Trabajo diario:                 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Análisis y revisión del trabajo cotidiano del alumno.                           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Organización y contenido de sus materiales.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La calidad de las aportaciones y sugerencias en el marco de tareas de   grupo.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Cuaderno de clases.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Exámenes orales y escritos.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Trabajos de investigación.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Desarrollo de temas en grupos.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Para la evaluación integradora se </w:t>
      </w:r>
      <w:proofErr w:type="gramStart"/>
      <w:r w:rsidRPr="004832F4">
        <w:rPr>
          <w:rFonts w:ascii="Arial" w:hAnsi="Arial" w:cs="Arial"/>
        </w:rPr>
        <w:t>utilizaran</w:t>
      </w:r>
      <w:proofErr w:type="gramEnd"/>
      <w:r w:rsidRPr="004832F4">
        <w:rPr>
          <w:rFonts w:ascii="Arial" w:hAnsi="Arial" w:cs="Arial"/>
        </w:rPr>
        <w:t xml:space="preserve"> distintos métodos como ser: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•Métodos de casos.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•Debates o discusiones dirigidas.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•Elaboración de trabajos basados en los conocimientos adquiridos.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  <w:r w:rsidRPr="004832F4">
        <w:rPr>
          <w:rFonts w:ascii="Arial" w:hAnsi="Arial" w:cs="Arial"/>
        </w:rPr>
        <w:t xml:space="preserve">•Desempeño durante el ciclo lectivo. </w:t>
      </w:r>
    </w:p>
    <w:p w:rsidR="004832F4" w:rsidRPr="004832F4" w:rsidRDefault="004832F4" w:rsidP="004832F4">
      <w:pPr>
        <w:spacing w:line="360" w:lineRule="auto"/>
        <w:ind w:left="-5"/>
        <w:rPr>
          <w:rFonts w:ascii="Arial" w:hAnsi="Arial" w:cs="Arial"/>
        </w:rPr>
      </w:pPr>
    </w:p>
    <w:p w:rsidR="004832F4" w:rsidRPr="004832F4" w:rsidRDefault="004832F4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25A69" w:rsidRPr="004832F4" w:rsidRDefault="00325A69" w:rsidP="00325A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1F1735" w:rsidRPr="004832F4" w:rsidRDefault="001F1735">
      <w:pPr>
        <w:rPr>
          <w:rFonts w:ascii="Arial" w:hAnsi="Arial" w:cs="Arial"/>
        </w:rPr>
      </w:pPr>
    </w:p>
    <w:sectPr w:rsidR="001F1735" w:rsidRPr="004832F4" w:rsidSect="005E5DD1">
      <w:headerReference w:type="default" r:id="rId9"/>
      <w:footerReference w:type="default" r:id="rId10"/>
      <w:pgSz w:w="11907" w:h="16839" w:code="9"/>
      <w:pgMar w:top="1843" w:right="1701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16" w:rsidRDefault="00471516" w:rsidP="00325A69">
      <w:pPr>
        <w:spacing w:after="0" w:line="240" w:lineRule="auto"/>
      </w:pPr>
      <w:r>
        <w:separator/>
      </w:r>
    </w:p>
  </w:endnote>
  <w:endnote w:type="continuationSeparator" w:id="0">
    <w:p w:rsidR="00471516" w:rsidRDefault="00471516" w:rsidP="0032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69" w:rsidRDefault="00325A69" w:rsidP="00325A69">
    <w:pPr>
      <w:pStyle w:val="Piedepgina"/>
      <w:tabs>
        <w:tab w:val="clear" w:pos="4419"/>
        <w:tab w:val="clear" w:pos="8838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16" w:rsidRDefault="00471516" w:rsidP="00325A69">
      <w:pPr>
        <w:spacing w:after="0" w:line="240" w:lineRule="auto"/>
      </w:pPr>
      <w:r>
        <w:separator/>
      </w:r>
    </w:p>
  </w:footnote>
  <w:footnote w:type="continuationSeparator" w:id="0">
    <w:p w:rsidR="00471516" w:rsidRDefault="00471516" w:rsidP="0032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D1" w:rsidRDefault="005E5DD1" w:rsidP="005E5DD1">
    <w:pPr>
      <w:spacing w:after="0"/>
      <w:ind w:left="22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46E4248" wp14:editId="04F18B58">
          <wp:simplePos x="0" y="0"/>
          <wp:positionH relativeFrom="page">
            <wp:posOffset>1223010</wp:posOffset>
          </wp:positionH>
          <wp:positionV relativeFrom="page">
            <wp:posOffset>143345</wp:posOffset>
          </wp:positionV>
          <wp:extent cx="883920" cy="952411"/>
          <wp:effectExtent l="0" t="0" r="0" b="0"/>
          <wp:wrapSquare wrapText="bothSides"/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920" cy="952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:rsidR="005E5DD1" w:rsidRDefault="005E5DD1" w:rsidP="005E5DD1">
    <w:pPr>
      <w:spacing w:after="0"/>
      <w:ind w:left="224" w:right="7"/>
      <w:jc w:val="center"/>
    </w:pPr>
    <w:r>
      <w:rPr>
        <w:rFonts w:ascii="Calibri" w:eastAsia="Calibri" w:hAnsi="Calibri" w:cs="Calibri"/>
        <w:sz w:val="18"/>
      </w:rPr>
      <w:t xml:space="preserve">  U.E.G.P. N° 202 “Instituto Libertador General San Martín”</w:t>
    </w:r>
    <w:r>
      <w:rPr>
        <w:rFonts w:ascii="Calibri" w:eastAsia="Calibri" w:hAnsi="Calibri" w:cs="Calibri"/>
        <w:b/>
        <w:sz w:val="18"/>
      </w:rPr>
      <w:t xml:space="preserve"> </w:t>
    </w:r>
  </w:p>
  <w:p w:rsidR="005E5DD1" w:rsidRDefault="005E5DD1" w:rsidP="005E5DD1">
    <w:pPr>
      <w:spacing w:after="0" w:line="241" w:lineRule="auto"/>
      <w:ind w:left="2938" w:right="954" w:hanging="1445"/>
    </w:pPr>
    <w:r>
      <w:rPr>
        <w:rFonts w:ascii="Calibri" w:eastAsia="Calibri" w:hAnsi="Calibri" w:cs="Calibri"/>
        <w:sz w:val="18"/>
      </w:rPr>
      <w:t>MARIANO MORENO Nº 1158 – (3700) - PCIA. ROQUE SÁENZ PEÑA – CHACO e-mail: uep202terciario@gmail.com</w:t>
    </w:r>
    <w:r>
      <w:rPr>
        <w:rFonts w:ascii="Calibri" w:eastAsia="Calibri" w:hAnsi="Calibri" w:cs="Calibri"/>
        <w:b/>
        <w:sz w:val="18"/>
      </w:rPr>
      <w:t xml:space="preserve"> </w:t>
    </w:r>
  </w:p>
  <w:p w:rsidR="005E5DD1" w:rsidRDefault="005E5DD1" w:rsidP="005E5DD1">
    <w:pPr>
      <w:pStyle w:val="Encabezado"/>
    </w:pPr>
  </w:p>
  <w:p w:rsidR="005E5DD1" w:rsidRDefault="005E5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3pt;visibility:visible;mso-wrap-style:square" o:bullet="t">
        <v:imagedata r:id="rId1" o:title=""/>
      </v:shape>
    </w:pict>
  </w:numPicBullet>
  <w:abstractNum w:abstractNumId="0" w15:restartNumberingAfterBreak="0">
    <w:nsid w:val="14EF4434"/>
    <w:multiLevelType w:val="multilevel"/>
    <w:tmpl w:val="A2FA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B7067"/>
    <w:multiLevelType w:val="hybridMultilevel"/>
    <w:tmpl w:val="007A9D72"/>
    <w:lvl w:ilvl="0" w:tplc="ADB80F8E">
      <w:start w:val="1"/>
      <w:numFmt w:val="bullet"/>
      <w:lvlText w:val="-"/>
      <w:lvlJc w:val="left"/>
      <w:pPr>
        <w:ind w:left="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00BF6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1526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C82A4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E83C0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6B168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0BD18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2F192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AFCAA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94837"/>
    <w:multiLevelType w:val="hybridMultilevel"/>
    <w:tmpl w:val="5B2AC848"/>
    <w:lvl w:ilvl="0" w:tplc="1B9460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E85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8CA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0BA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6A6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AB3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C8BD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AF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479C3"/>
    <w:multiLevelType w:val="hybridMultilevel"/>
    <w:tmpl w:val="0FC443EE"/>
    <w:lvl w:ilvl="0" w:tplc="8D961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F2A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A0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6A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0A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84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A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2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825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9"/>
    <w:rsid w:val="0010239B"/>
    <w:rsid w:val="001F1735"/>
    <w:rsid w:val="00325A69"/>
    <w:rsid w:val="00471516"/>
    <w:rsid w:val="004832F4"/>
    <w:rsid w:val="00593837"/>
    <w:rsid w:val="005E5DD1"/>
    <w:rsid w:val="006B5938"/>
    <w:rsid w:val="00812452"/>
    <w:rsid w:val="00894EA0"/>
    <w:rsid w:val="00B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61A1"/>
  <w15:docId w15:val="{C6664A62-9210-4045-A8B0-01DBBE4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A69"/>
  </w:style>
  <w:style w:type="paragraph" w:styleId="Piedepgina">
    <w:name w:val="footer"/>
    <w:basedOn w:val="Normal"/>
    <w:link w:val="PiedepginaCar"/>
    <w:uiPriority w:val="99"/>
    <w:unhideWhenUsed/>
    <w:rsid w:val="0032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A69"/>
  </w:style>
  <w:style w:type="paragraph" w:styleId="NormalWeb">
    <w:name w:val="Normal (Web)"/>
    <w:basedOn w:val="Normal"/>
    <w:uiPriority w:val="99"/>
    <w:semiHidden/>
    <w:unhideWhenUsed/>
    <w:rsid w:val="0048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4832F4"/>
    <w:pPr>
      <w:ind w:left="720"/>
      <w:contextualSpacing/>
    </w:pPr>
  </w:style>
  <w:style w:type="character" w:customStyle="1" w:styleId="vkekvd">
    <w:name w:val="vkekvd"/>
    <w:basedOn w:val="Fuentedeprrafopredeter"/>
    <w:rsid w:val="00B82F08"/>
  </w:style>
  <w:style w:type="character" w:customStyle="1" w:styleId="ifmvxd">
    <w:name w:val="ifmvxd"/>
    <w:basedOn w:val="Fuentedeprrafopredeter"/>
    <w:rsid w:val="00B82F08"/>
  </w:style>
  <w:style w:type="character" w:customStyle="1" w:styleId="ijm6od">
    <w:name w:val="ijm6od"/>
    <w:basedOn w:val="Fuentedeprrafopredeter"/>
    <w:rsid w:val="00B82F08"/>
  </w:style>
  <w:style w:type="character" w:customStyle="1" w:styleId="t286pc">
    <w:name w:val="t286pc"/>
    <w:basedOn w:val="Fuentedeprrafopredeter"/>
    <w:rsid w:val="00B82F08"/>
  </w:style>
  <w:style w:type="character" w:styleId="Textoennegrita">
    <w:name w:val="Strong"/>
    <w:basedOn w:val="Fuentedeprrafopredeter"/>
    <w:uiPriority w:val="22"/>
    <w:qFormat/>
    <w:rsid w:val="00B82F0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2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1765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Educacion</cp:lastModifiedBy>
  <cp:revision>4</cp:revision>
  <cp:lastPrinted>2021-04-08T14:05:00Z</cp:lastPrinted>
  <dcterms:created xsi:type="dcterms:W3CDTF">2026-04-20T13:55:00Z</dcterms:created>
  <dcterms:modified xsi:type="dcterms:W3CDTF">2026-04-20T15:16:00Z</dcterms:modified>
</cp:coreProperties>
</file>