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Cs.Nat.Biología</w:t>
      </w:r>
    </w:p>
    <w:p w:rsidR="00000000" w:rsidDel="00000000" w:rsidP="00000000" w:rsidRDefault="00000000" w:rsidRPr="00000000" w14:paraId="00000002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19 de Junio de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Curso: 2°año 4° Div. T.M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TEMA</w:t>
      </w:r>
      <w:r w:rsidDel="00000000" w:rsidR="00000000" w:rsidRPr="00000000">
        <w:rPr>
          <w:rtl w:val="0"/>
        </w:rPr>
        <w:t xml:space="preserve">: El Ciclo Celular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u w:val="single"/>
          <w:rtl w:val="0"/>
        </w:rPr>
        <w:t xml:space="preserve">CONSIGNAS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Leer el Material Bibliográfico y responder las consignas.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664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4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Responder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el Ciclo Celular?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está confirmado el Núcleo Celular en la interfase?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Graficar el Ciclo Celular,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Dibujar el Núcleo en interfase.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