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9583" w14:textId="77777777" w:rsidR="00C70D69" w:rsidRDefault="00C70D69">
      <w:pPr>
        <w:spacing w:after="5" w:line="250" w:lineRule="auto"/>
        <w:ind w:right="0"/>
        <w:jc w:val="left"/>
        <w:rPr>
          <w:b/>
        </w:rPr>
      </w:pPr>
      <w:r>
        <w:rPr>
          <w:b/>
        </w:rPr>
        <w:t xml:space="preserve">FECHA: 12 DE JULIO DE 2023 </w:t>
      </w:r>
    </w:p>
    <w:p w14:paraId="5A0EB5CA" w14:textId="2B14ABDD" w:rsidR="00BC1C08" w:rsidRDefault="00C70D69">
      <w:pPr>
        <w:spacing w:after="5" w:line="250" w:lineRule="auto"/>
        <w:ind w:right="0"/>
        <w:jc w:val="left"/>
      </w:pPr>
      <w:r>
        <w:rPr>
          <w:b/>
        </w:rPr>
        <w:t xml:space="preserve">TEMA: </w:t>
      </w:r>
      <w:r>
        <w:rPr>
          <w:b/>
        </w:rPr>
        <w:t>CONCEPTOS BÁSICOS DEL ANÁLISIS POLÍTICO: IDEOLOGÍA, NACIÓN, ESTADO</w:t>
      </w:r>
      <w:r w:rsidR="00223A6D">
        <w:rPr>
          <w:b/>
        </w:rPr>
        <w:t>.</w:t>
      </w:r>
    </w:p>
    <w:p w14:paraId="0160DFED" w14:textId="77777777" w:rsidR="00BC1C08" w:rsidRDefault="00C70D69">
      <w:pPr>
        <w:spacing w:after="0" w:line="259" w:lineRule="auto"/>
        <w:ind w:left="0" w:right="0" w:firstLine="0"/>
        <w:jc w:val="left"/>
      </w:pPr>
      <w:r>
        <w:t xml:space="preserve"> </w:t>
      </w:r>
    </w:p>
    <w:p w14:paraId="7C7B3CE5" w14:textId="77777777" w:rsidR="00BC1C08" w:rsidRDefault="00C70D69">
      <w:pPr>
        <w:ind w:left="-5" w:right="0"/>
      </w:pPr>
      <w:r>
        <w:rPr>
          <w:b/>
          <w:color w:val="FF0000"/>
        </w:rPr>
        <w:t xml:space="preserve">Ideología: </w:t>
      </w:r>
      <w:r>
        <w:t>Clásicamente se ha entendido la</w:t>
      </w:r>
      <w:r>
        <w:rPr>
          <w:i/>
        </w:rPr>
        <w:t xml:space="preserve"> ideología</w:t>
      </w:r>
      <w:r>
        <w:t xml:space="preserve"> com</w:t>
      </w:r>
      <w:r>
        <w:t>o un sistema de ideas fundamentales que definen un modo de pensamiento político, religioso, cultural, identitario, etc., de una persona o una comunidad. La primera función de la ideología es emitir un juicio acerca de la realidad social presente, la segund</w:t>
      </w:r>
      <w:r>
        <w:t>a es proporcionar unas herramientas conceptuales que den razón de los mecanismos del sistema actual y la tercera es señalar las novedades que es necesario introducir en el mismo para ponerle fin y provocar el “progreso” hacia un bien predeterminado, un bie</w:t>
      </w:r>
      <w:r>
        <w:t xml:space="preserve">n utópico pero cuya posibilidad es hipotéticamente realizable si se siguen las indicaciones adecuadas. </w:t>
      </w:r>
    </w:p>
    <w:p w14:paraId="1EDC0712" w14:textId="77777777" w:rsidR="00BC1C08" w:rsidRDefault="00C70D69">
      <w:pPr>
        <w:spacing w:after="0" w:line="259" w:lineRule="auto"/>
        <w:ind w:left="0" w:right="0" w:firstLine="0"/>
        <w:jc w:val="left"/>
      </w:pPr>
      <w:r>
        <w:rPr>
          <w:b/>
        </w:rPr>
        <w:t xml:space="preserve"> </w:t>
      </w:r>
    </w:p>
    <w:p w14:paraId="7A07EF83" w14:textId="77777777" w:rsidR="00BC1C08" w:rsidRDefault="00C70D69">
      <w:pPr>
        <w:ind w:left="-5" w:right="0"/>
      </w:pPr>
      <w:r>
        <w:rPr>
          <w:b/>
          <w:color w:val="FF0000"/>
        </w:rPr>
        <w:t xml:space="preserve">Nación: </w:t>
      </w:r>
      <w:r>
        <w:t>La nación está conformada por sus habitantes, por las costumbres y hábitos de dichos habitantes, y por un territorio. Todos estos conceptos so</w:t>
      </w:r>
      <w:r>
        <w:t xml:space="preserve">n las piezas que le dan forma a la idea de nación. </w:t>
      </w:r>
      <w:proofErr w:type="gramStart"/>
      <w:r>
        <w:t>O</w:t>
      </w:r>
      <w:proofErr w:type="gramEnd"/>
      <w:r>
        <w:t xml:space="preserve"> dicho de otra manera: la nación es un grupo de habitantes que, en un mismo territorio y regidos por un mismo gobierno, forman un país en donde esos habitantes se caracterizan por tener unas mismas costum</w:t>
      </w:r>
      <w:r>
        <w:t xml:space="preserve">bres y hábitos, y que generalmente hablan el mismo idioma. </w:t>
      </w:r>
    </w:p>
    <w:p w14:paraId="1D7C7AB7" w14:textId="77777777" w:rsidR="00BC1C08" w:rsidRDefault="00C70D69">
      <w:pPr>
        <w:ind w:left="-5" w:right="0"/>
      </w:pPr>
      <w:r>
        <w:t>Esta definición, sin embargo, es problemática, pues son muy pocos los países del mundo en donde pueden darse tales condiciones, ello debido a que en prácticamente todos los territorios conviven di</w:t>
      </w:r>
      <w:r>
        <w:t>ferentes pueblos, razas, credos y lenguas, lo que hace que la definición de una nación sea un asunto complejo que no siempre logra ser resuelto de manera pacífica. Lo importante es tener claro que, en el caso de nuestro país, así no se hable el mismo idiom</w:t>
      </w:r>
      <w:r>
        <w:t xml:space="preserve">a y las tradiciones sean diferentes, todos los habitantes que se encuentren dentro del territorio argentino reciben el título de argentinos y son miembros de la misma nación. </w:t>
      </w:r>
    </w:p>
    <w:p w14:paraId="4B7C775A" w14:textId="77777777" w:rsidR="00BC1C08" w:rsidRDefault="00C70D69">
      <w:pPr>
        <w:spacing w:after="100" w:line="259" w:lineRule="auto"/>
        <w:ind w:left="0" w:right="0" w:firstLine="0"/>
        <w:jc w:val="left"/>
      </w:pPr>
      <w:r>
        <w:rPr>
          <w:b/>
        </w:rPr>
        <w:t xml:space="preserve"> </w:t>
      </w:r>
    </w:p>
    <w:p w14:paraId="00FB8C5E" w14:textId="77777777" w:rsidR="00BC1C08" w:rsidRDefault="00C70D69">
      <w:pPr>
        <w:ind w:left="-5" w:right="0"/>
      </w:pPr>
      <w:r>
        <w:rPr>
          <w:b/>
          <w:color w:val="FF0000"/>
        </w:rPr>
        <w:t xml:space="preserve">Estado: </w:t>
      </w:r>
      <w:r>
        <w:t>Los seres humanos siempre han buscado congregarse, primero en grupos familiares, bandas o clanes, y luego en organizaciones con distinto grado de complejidad. Los Estados son una de estas formas históricas de convivencia, con características determinadas y</w:t>
      </w:r>
      <w:r>
        <w:t xml:space="preserve"> tienen preponderancia en el mundo moderno. </w:t>
      </w:r>
    </w:p>
    <w:p w14:paraId="4D44AF5D" w14:textId="77777777" w:rsidR="00BC1C08" w:rsidRDefault="00C70D69">
      <w:pPr>
        <w:ind w:left="-5" w:right="0"/>
      </w:pPr>
      <w:r>
        <w:t xml:space="preserve">El Estado es un concepto político referido a una forma de organización social, que cuenta con instituciones soberanas, que regulan la vida de una cierta comunidad de individuos en el marco de un territorio nacional. </w:t>
      </w:r>
    </w:p>
    <w:p w14:paraId="5F086BFC" w14:textId="77777777" w:rsidR="00BC1C08" w:rsidRDefault="00C70D69">
      <w:pPr>
        <w:ind w:left="-5" w:right="0"/>
      </w:pPr>
      <w:r>
        <w:t>Diversas definiciones han sido dadas po</w:t>
      </w:r>
      <w:r>
        <w:t xml:space="preserve">r pensadores de todas las épocas, con distintos énfasis, pues históricamente diferentes tipos de agrupaciones fueron calificadas como Estados. Modernamente, Carré de </w:t>
      </w:r>
      <w:proofErr w:type="spellStart"/>
      <w:r>
        <w:t>Malberg</w:t>
      </w:r>
      <w:proofErr w:type="spellEnd"/>
      <w:r>
        <w:t xml:space="preserve"> (1988) lo define como “</w:t>
      </w:r>
      <w:r>
        <w:rPr>
          <w:i/>
        </w:rPr>
        <w:t>una comunidad humana, fijada sobre un territorio propio, qu</w:t>
      </w:r>
      <w:r>
        <w:rPr>
          <w:i/>
        </w:rPr>
        <w:t>e posee una organización que resulta para ese grupo, en lo que respeta a las relaciones con sus miembros, una potencia suprema de acción, de mando y coerción</w:t>
      </w:r>
      <w:r>
        <w:t xml:space="preserve">”. </w:t>
      </w:r>
    </w:p>
    <w:p w14:paraId="612388BF" w14:textId="77777777" w:rsidR="00BC1C08" w:rsidRDefault="00C70D69">
      <w:pPr>
        <w:spacing w:after="0" w:line="259" w:lineRule="auto"/>
        <w:ind w:left="0" w:right="0" w:firstLine="0"/>
        <w:jc w:val="left"/>
      </w:pPr>
      <w:r>
        <w:t xml:space="preserve"> </w:t>
      </w:r>
    </w:p>
    <w:p w14:paraId="2B41FE4D" w14:textId="77777777" w:rsidR="00BC1C08" w:rsidRDefault="00C70D69">
      <w:pPr>
        <w:spacing w:after="5" w:line="250" w:lineRule="auto"/>
        <w:ind w:right="0"/>
        <w:jc w:val="left"/>
      </w:pPr>
      <w:r>
        <w:rPr>
          <w:b/>
        </w:rPr>
        <w:t>Origen y clasificación de los Estados</w:t>
      </w:r>
      <w:r>
        <w:t xml:space="preserve"> </w:t>
      </w:r>
    </w:p>
    <w:p w14:paraId="1DC58D91" w14:textId="77777777" w:rsidR="00BC1C08" w:rsidRDefault="00C70D69">
      <w:pPr>
        <w:ind w:left="-5" w:right="0"/>
      </w:pPr>
      <w:r>
        <w:t>El modelo de Estado descrito solo se refiere a la exis</w:t>
      </w:r>
      <w:r>
        <w:t>tencia de un poder centralizado, pero nada se dice respecto de la forma de ejercer dicha autoridad. Estos Estados que concentraban fuertemente el poder en el monarca fueron conocidos como absolutos. A partir de sucesos como la Independencia de los EE UU (1</w:t>
      </w:r>
      <w:r>
        <w:t xml:space="preserve">776) y la Revolución Francesa (1789) la situación de los Estados absolutistas se ve alterada por las ideas liberales, dando paso a un Estado más democrático, constitucional y con división de poderes. </w:t>
      </w:r>
    </w:p>
    <w:p w14:paraId="3ED4B2FE" w14:textId="77777777" w:rsidR="00BC1C08" w:rsidRDefault="00C70D69">
      <w:pPr>
        <w:ind w:left="-5" w:right="0"/>
      </w:pPr>
      <w:r>
        <w:t>Antes de dar una clasificación de los Estados, es neces</w:t>
      </w:r>
      <w:r>
        <w:t xml:space="preserve">ario diferenciar dos conceptos: forma de Estado y forma de gobierno. </w:t>
      </w:r>
    </w:p>
    <w:p w14:paraId="00E38069" w14:textId="77777777" w:rsidR="00BC1C08" w:rsidRDefault="00C70D69">
      <w:pPr>
        <w:numPr>
          <w:ilvl w:val="0"/>
          <w:numId w:val="1"/>
        </w:numPr>
        <w:ind w:right="0" w:hanging="284"/>
      </w:pPr>
      <w:r>
        <w:rPr>
          <w:b/>
        </w:rPr>
        <w:t>Forma de Estado:</w:t>
      </w:r>
      <w:r>
        <w:t xml:space="preserve"> estructura del poder del cual el Estado es titular y a su distribución espacial. </w:t>
      </w:r>
    </w:p>
    <w:p w14:paraId="32C1F039" w14:textId="77777777" w:rsidR="00BC1C08" w:rsidRDefault="00C70D69">
      <w:pPr>
        <w:numPr>
          <w:ilvl w:val="0"/>
          <w:numId w:val="1"/>
        </w:numPr>
        <w:ind w:right="0" w:hanging="284"/>
      </w:pPr>
      <w:r>
        <w:rPr>
          <w:b/>
        </w:rPr>
        <w:t>Forma de gobierno:</w:t>
      </w:r>
      <w:r>
        <w:t xml:space="preserve"> ordenamiento político que se adopta o manera en que se ejerce el pod</w:t>
      </w:r>
      <w:r>
        <w:t>er y cómo son designados los gobernantes. Existen Estados de estructura semejante, pero regidos por formas de gobierno distintas y a la inversa. Estados federales semejantes en su estructura como Estados Unidos y Alemania Federal, con gobierno presidencial</w:t>
      </w:r>
      <w:r>
        <w:t xml:space="preserve">ista el primero y parlamentario el segundo; o Estados de estructura distinta, uno unitario como Chile y otro federal como Argentina, pero ambos con una forma de gobierno similar, la presidencialista. En relación con la clasificación de los Estados existen </w:t>
      </w:r>
      <w:r>
        <w:t xml:space="preserve">dos grandes grupos: </w:t>
      </w:r>
    </w:p>
    <w:tbl>
      <w:tblPr>
        <w:tblStyle w:val="TableGrid"/>
        <w:tblW w:w="10920" w:type="dxa"/>
        <w:tblInd w:w="22" w:type="dxa"/>
        <w:tblCellMar>
          <w:top w:w="51" w:type="dxa"/>
          <w:left w:w="0" w:type="dxa"/>
          <w:bottom w:w="0" w:type="dxa"/>
          <w:right w:w="0" w:type="dxa"/>
        </w:tblCellMar>
        <w:tblLook w:val="04A0" w:firstRow="1" w:lastRow="0" w:firstColumn="1" w:lastColumn="0" w:noHBand="0" w:noVBand="1"/>
      </w:tblPr>
      <w:tblGrid>
        <w:gridCol w:w="21"/>
        <w:gridCol w:w="5259"/>
        <w:gridCol w:w="5361"/>
        <w:gridCol w:w="279"/>
      </w:tblGrid>
      <w:tr w:rsidR="00BC1C08" w14:paraId="6753DF83" w14:textId="77777777">
        <w:trPr>
          <w:gridBefore w:val="1"/>
          <w:gridAfter w:val="1"/>
          <w:wBefore w:w="22" w:type="dxa"/>
          <w:wAfter w:w="291" w:type="dxa"/>
          <w:trHeight w:val="427"/>
        </w:trPr>
        <w:tc>
          <w:tcPr>
            <w:tcW w:w="5388" w:type="dxa"/>
            <w:tcBorders>
              <w:top w:val="single" w:sz="6" w:space="0" w:color="DEE2E6"/>
              <w:left w:val="single" w:sz="6" w:space="0" w:color="DEE2E6"/>
              <w:bottom w:val="single" w:sz="6" w:space="0" w:color="FFFFFF"/>
              <w:right w:val="single" w:sz="6" w:space="0" w:color="DEE2E6"/>
            </w:tcBorders>
          </w:tcPr>
          <w:p w14:paraId="55297766" w14:textId="77777777" w:rsidR="00BC1C08" w:rsidRDefault="00C70D69">
            <w:pPr>
              <w:spacing w:after="0" w:line="259" w:lineRule="auto"/>
              <w:ind w:left="0" w:right="6" w:firstLine="0"/>
              <w:jc w:val="center"/>
            </w:pPr>
            <w:r>
              <w:rPr>
                <w:b/>
                <w:color w:val="FF0000"/>
              </w:rPr>
              <w:t>Estado Simple o Unitario</w:t>
            </w:r>
            <w:r>
              <w:t xml:space="preserve"> </w:t>
            </w:r>
          </w:p>
        </w:tc>
        <w:tc>
          <w:tcPr>
            <w:tcW w:w="5532" w:type="dxa"/>
            <w:tcBorders>
              <w:top w:val="single" w:sz="6" w:space="0" w:color="DEE2E6"/>
              <w:left w:val="single" w:sz="6" w:space="0" w:color="DEE2E6"/>
              <w:bottom w:val="single" w:sz="6" w:space="0" w:color="FFFFFF"/>
              <w:right w:val="single" w:sz="6" w:space="0" w:color="DEE2E6"/>
            </w:tcBorders>
          </w:tcPr>
          <w:p w14:paraId="32D66E57" w14:textId="77777777" w:rsidR="00BC1C08" w:rsidRDefault="00C70D69">
            <w:pPr>
              <w:spacing w:after="0" w:line="259" w:lineRule="auto"/>
              <w:ind w:left="5" w:right="0" w:firstLine="0"/>
              <w:jc w:val="center"/>
            </w:pPr>
            <w:r>
              <w:rPr>
                <w:b/>
                <w:color w:val="FF0000"/>
              </w:rPr>
              <w:t>Estado Federal</w:t>
            </w:r>
            <w:r>
              <w:t xml:space="preserve"> </w:t>
            </w:r>
          </w:p>
        </w:tc>
      </w:tr>
      <w:tr w:rsidR="00BC1C08" w14:paraId="3F8326F7" w14:textId="77777777">
        <w:trPr>
          <w:gridBefore w:val="1"/>
          <w:gridAfter w:val="1"/>
          <w:wBefore w:w="22" w:type="dxa"/>
          <w:wAfter w:w="291" w:type="dxa"/>
          <w:trHeight w:val="1553"/>
        </w:trPr>
        <w:tc>
          <w:tcPr>
            <w:tcW w:w="5388" w:type="dxa"/>
            <w:tcBorders>
              <w:top w:val="single" w:sz="6" w:space="0" w:color="FFFFFF"/>
              <w:left w:val="single" w:sz="6" w:space="0" w:color="DEE2E6"/>
              <w:bottom w:val="single" w:sz="6" w:space="0" w:color="DEE2E6"/>
              <w:right w:val="single" w:sz="6" w:space="0" w:color="DEE2E6"/>
            </w:tcBorders>
          </w:tcPr>
          <w:p w14:paraId="17B2919D" w14:textId="77777777" w:rsidR="00BC1C08" w:rsidRDefault="00C70D69">
            <w:pPr>
              <w:numPr>
                <w:ilvl w:val="0"/>
                <w:numId w:val="4"/>
              </w:numPr>
              <w:spacing w:after="24" w:line="238" w:lineRule="auto"/>
              <w:ind w:right="8" w:hanging="144"/>
            </w:pPr>
            <w:r>
              <w:lastRenderedPageBreak/>
              <w:t xml:space="preserve">Posee un centro de poder, ejercido a través de órganos encargados de diferentes funciones, con sede en la capital del Estado. </w:t>
            </w:r>
          </w:p>
          <w:p w14:paraId="3888F287" w14:textId="77777777" w:rsidR="00BC1C08" w:rsidRDefault="00C70D69">
            <w:pPr>
              <w:numPr>
                <w:ilvl w:val="0"/>
                <w:numId w:val="4"/>
              </w:numPr>
              <w:spacing w:after="0" w:line="259" w:lineRule="auto"/>
              <w:ind w:right="8" w:hanging="144"/>
            </w:pPr>
            <w:r>
              <w:t xml:space="preserve">Las personas obedecen a una sola Constitución y la organización política abarca todo el territorio nacional. </w:t>
            </w:r>
          </w:p>
        </w:tc>
        <w:tc>
          <w:tcPr>
            <w:tcW w:w="5532" w:type="dxa"/>
            <w:tcBorders>
              <w:top w:val="single" w:sz="6" w:space="0" w:color="FFFFFF"/>
              <w:left w:val="single" w:sz="6" w:space="0" w:color="DEE2E6"/>
              <w:bottom w:val="single" w:sz="6" w:space="0" w:color="DEE2E6"/>
              <w:right w:val="single" w:sz="6" w:space="0" w:color="DEE2E6"/>
            </w:tcBorders>
          </w:tcPr>
          <w:p w14:paraId="78CCEB3F" w14:textId="77777777" w:rsidR="00BC1C08" w:rsidRDefault="00C70D69">
            <w:pPr>
              <w:numPr>
                <w:ilvl w:val="0"/>
                <w:numId w:val="5"/>
              </w:numPr>
              <w:spacing w:after="16" w:line="241" w:lineRule="auto"/>
              <w:ind w:right="7" w:firstLine="152"/>
            </w:pPr>
            <w:r>
              <w:t>Su actividad es obj</w:t>
            </w:r>
            <w:r>
              <w:t xml:space="preserve">eto no solo de </w:t>
            </w:r>
            <w:proofErr w:type="gramStart"/>
            <w:r>
              <w:t>descentralización  administrativa</w:t>
            </w:r>
            <w:proofErr w:type="gramEnd"/>
            <w:r>
              <w:t xml:space="preserve">, sino que también de descentralización política. </w:t>
            </w:r>
          </w:p>
          <w:p w14:paraId="6869D7A8" w14:textId="77777777" w:rsidR="00BC1C08" w:rsidRDefault="00C70D69">
            <w:pPr>
              <w:numPr>
                <w:ilvl w:val="0"/>
                <w:numId w:val="5"/>
              </w:numPr>
              <w:spacing w:after="0" w:line="259" w:lineRule="auto"/>
              <w:ind w:right="7" w:firstLine="152"/>
            </w:pPr>
            <w:r>
              <w:t xml:space="preserve">Reconoce a varias fuentes originarias de poder político, una </w:t>
            </w:r>
            <w:proofErr w:type="gramStart"/>
            <w:r>
              <w:t>que  corresponde</w:t>
            </w:r>
            <w:proofErr w:type="gramEnd"/>
            <w:r>
              <w:t xml:space="preserve"> al gobierno central y otra que es propia de los gobiernos regionales, actuando </w:t>
            </w:r>
            <w:r>
              <w:t xml:space="preserve">de forma coordinada pero independiente cada uno. </w:t>
            </w:r>
          </w:p>
        </w:tc>
      </w:tr>
      <w:tr w:rsidR="00BC1C08" w14:paraId="565DDA17" w14:textId="77777777">
        <w:tblPrEx>
          <w:tblCellMar>
            <w:top w:w="41" w:type="dxa"/>
            <w:right w:w="13" w:type="dxa"/>
          </w:tblCellMar>
        </w:tblPrEx>
        <w:trPr>
          <w:trHeight w:val="423"/>
        </w:trPr>
        <w:tc>
          <w:tcPr>
            <w:tcW w:w="5411" w:type="dxa"/>
            <w:gridSpan w:val="2"/>
            <w:tcBorders>
              <w:top w:val="single" w:sz="6" w:space="0" w:color="DEE2E6"/>
              <w:left w:val="single" w:sz="6" w:space="0" w:color="DEE2E6"/>
              <w:bottom w:val="single" w:sz="6" w:space="0" w:color="FFFFFF"/>
              <w:right w:val="single" w:sz="6" w:space="0" w:color="DEE2E6"/>
            </w:tcBorders>
          </w:tcPr>
          <w:p w14:paraId="257AB0E4" w14:textId="77777777" w:rsidR="00BC1C08" w:rsidRDefault="00C70D69">
            <w:pPr>
              <w:spacing w:after="0" w:line="259" w:lineRule="auto"/>
              <w:ind w:left="35" w:right="0" w:firstLine="0"/>
              <w:jc w:val="center"/>
            </w:pPr>
            <w:r>
              <w:rPr>
                <w:b/>
                <w:color w:val="FF0000"/>
              </w:rPr>
              <w:t>Estado Simple o Unitario</w:t>
            </w:r>
            <w:r>
              <w:t xml:space="preserve"> </w:t>
            </w:r>
          </w:p>
        </w:tc>
        <w:tc>
          <w:tcPr>
            <w:tcW w:w="5532" w:type="dxa"/>
            <w:tcBorders>
              <w:top w:val="single" w:sz="6" w:space="0" w:color="DEE2E6"/>
              <w:left w:val="single" w:sz="6" w:space="0" w:color="DEE2E6"/>
              <w:bottom w:val="single" w:sz="6" w:space="0" w:color="FFFFFF"/>
              <w:right w:val="single" w:sz="6" w:space="0" w:color="DEE2E6"/>
            </w:tcBorders>
          </w:tcPr>
          <w:p w14:paraId="6EE0E887" w14:textId="77777777" w:rsidR="00BC1C08" w:rsidRDefault="00C70D69">
            <w:pPr>
              <w:spacing w:after="0" w:line="259" w:lineRule="auto"/>
              <w:ind w:left="19" w:right="0" w:firstLine="0"/>
              <w:jc w:val="center"/>
            </w:pPr>
            <w:r>
              <w:rPr>
                <w:b/>
                <w:color w:val="FF0000"/>
              </w:rPr>
              <w:t>Estado Federal</w:t>
            </w:r>
            <w:r>
              <w:t xml:space="preserve"> </w:t>
            </w:r>
          </w:p>
        </w:tc>
        <w:tc>
          <w:tcPr>
            <w:tcW w:w="290" w:type="dxa"/>
            <w:vMerge w:val="restart"/>
            <w:tcBorders>
              <w:top w:val="nil"/>
              <w:left w:val="single" w:sz="6" w:space="0" w:color="DEE2E6"/>
              <w:bottom w:val="nil"/>
              <w:right w:val="nil"/>
            </w:tcBorders>
          </w:tcPr>
          <w:p w14:paraId="45456ABE" w14:textId="77777777" w:rsidR="00BC1C08" w:rsidRDefault="00C70D69">
            <w:pPr>
              <w:spacing w:after="0" w:line="259" w:lineRule="auto"/>
              <w:ind w:left="-22" w:right="0" w:firstLine="0"/>
              <w:jc w:val="left"/>
            </w:pPr>
            <w:r>
              <w:t xml:space="preserve"> </w:t>
            </w:r>
          </w:p>
          <w:p w14:paraId="131CE3DA" w14:textId="77777777" w:rsidR="00BC1C08" w:rsidRDefault="00C70D69">
            <w:pPr>
              <w:spacing w:after="0" w:line="259" w:lineRule="auto"/>
              <w:ind w:left="-23" w:right="0" w:firstLine="0"/>
              <w:jc w:val="left"/>
            </w:pPr>
            <w:r>
              <w:t xml:space="preserve"> </w:t>
            </w:r>
          </w:p>
        </w:tc>
      </w:tr>
      <w:tr w:rsidR="00BC1C08" w14:paraId="132FA2FB" w14:textId="77777777">
        <w:tblPrEx>
          <w:tblCellMar>
            <w:top w:w="41" w:type="dxa"/>
            <w:right w:w="13" w:type="dxa"/>
          </w:tblCellMar>
        </w:tblPrEx>
        <w:trPr>
          <w:trHeight w:val="1555"/>
        </w:trPr>
        <w:tc>
          <w:tcPr>
            <w:tcW w:w="5411" w:type="dxa"/>
            <w:gridSpan w:val="2"/>
            <w:tcBorders>
              <w:top w:val="single" w:sz="6" w:space="0" w:color="FFFFFF"/>
              <w:left w:val="single" w:sz="6" w:space="0" w:color="DEE2E6"/>
              <w:bottom w:val="single" w:sz="6" w:space="0" w:color="DEE2E6"/>
              <w:right w:val="single" w:sz="6" w:space="0" w:color="DEE2E6"/>
            </w:tcBorders>
          </w:tcPr>
          <w:p w14:paraId="69849186" w14:textId="77777777" w:rsidR="00BC1C08" w:rsidRDefault="00C70D69">
            <w:pPr>
              <w:spacing w:after="0" w:line="259" w:lineRule="auto"/>
              <w:ind w:left="453" w:right="0" w:hanging="144"/>
            </w:pPr>
            <w:r>
              <w:rPr>
                <w:rFonts w:ascii="Segoe UI Symbol" w:eastAsia="Segoe UI Symbol" w:hAnsi="Segoe UI Symbol" w:cs="Segoe UI Symbol"/>
                <w:sz w:val="20"/>
              </w:rPr>
              <w:t></w:t>
            </w:r>
            <w:r>
              <w:rPr>
                <w:sz w:val="20"/>
              </w:rPr>
              <w:t xml:space="preserve"> </w:t>
            </w:r>
            <w:r>
              <w:t xml:space="preserve">La administración puede ejercerse de manera centralizada o descentralizada administrativamente, entendiendo por esta última, la forma que tiene el Estado de hacer más eficiente su funcionamiento, otorgando personalidad jurídica, atribuciones, patrimonio y </w:t>
            </w:r>
            <w:r>
              <w:t xml:space="preserve">responsabilidad propia a organismos sujetos indirectamente al poder central. </w:t>
            </w:r>
          </w:p>
        </w:tc>
        <w:tc>
          <w:tcPr>
            <w:tcW w:w="5532" w:type="dxa"/>
            <w:tcBorders>
              <w:top w:val="single" w:sz="6" w:space="0" w:color="FFFFFF"/>
              <w:left w:val="single" w:sz="6" w:space="0" w:color="DEE2E6"/>
              <w:bottom w:val="single" w:sz="6" w:space="0" w:color="DEE2E6"/>
              <w:right w:val="single" w:sz="6" w:space="0" w:color="DEE2E6"/>
            </w:tcBorders>
          </w:tcPr>
          <w:p w14:paraId="1DCFB479" w14:textId="77777777" w:rsidR="00BC1C08" w:rsidRDefault="00C70D69">
            <w:pPr>
              <w:tabs>
                <w:tab w:val="center" w:pos="1532"/>
                <w:tab w:val="center" w:pos="2298"/>
                <w:tab w:val="center" w:pos="3133"/>
                <w:tab w:val="center" w:pos="3917"/>
                <w:tab w:val="right" w:pos="5518"/>
              </w:tabs>
              <w:spacing w:after="0" w:line="259" w:lineRule="auto"/>
              <w:ind w:left="-13" w:right="0" w:firstLine="0"/>
              <w:jc w:val="left"/>
            </w:pPr>
            <w:r>
              <w:t xml:space="preserve"> </w:t>
            </w:r>
            <w:r>
              <w:rPr>
                <w:rFonts w:ascii="Segoe UI Symbol" w:eastAsia="Segoe UI Symbol" w:hAnsi="Segoe UI Symbol" w:cs="Segoe UI Symbol"/>
                <w:sz w:val="20"/>
              </w:rPr>
              <w:t></w:t>
            </w:r>
            <w:r>
              <w:rPr>
                <w:sz w:val="20"/>
              </w:rPr>
              <w:t xml:space="preserve"> </w:t>
            </w:r>
            <w:r>
              <w:t xml:space="preserve">Existe </w:t>
            </w:r>
            <w:r>
              <w:tab/>
              <w:t xml:space="preserve">además </w:t>
            </w:r>
            <w:r>
              <w:tab/>
              <w:t xml:space="preserve">una </w:t>
            </w:r>
            <w:r>
              <w:tab/>
              <w:t xml:space="preserve">pluralidad </w:t>
            </w:r>
            <w:r>
              <w:tab/>
              <w:t xml:space="preserve">de </w:t>
            </w:r>
            <w:r>
              <w:tab/>
              <w:t>ordenamientos</w:t>
            </w:r>
          </w:p>
          <w:p w14:paraId="444B43EC" w14:textId="77777777" w:rsidR="00BC1C08" w:rsidRDefault="00C70D69">
            <w:pPr>
              <w:spacing w:after="15" w:line="240" w:lineRule="auto"/>
              <w:ind w:left="-18" w:right="0" w:firstLine="0"/>
            </w:pPr>
            <w:r>
              <w:t xml:space="preserve"> constitucionales entre los cuales destaca uno como principal </w:t>
            </w:r>
            <w:proofErr w:type="gramStart"/>
            <w:r>
              <w:t>y  al</w:t>
            </w:r>
            <w:proofErr w:type="gramEnd"/>
            <w:r>
              <w:t xml:space="preserve"> cual están subordinados los demás. </w:t>
            </w:r>
          </w:p>
          <w:p w14:paraId="167996E5" w14:textId="77777777" w:rsidR="00BC1C08" w:rsidRDefault="00C70D69">
            <w:pPr>
              <w:spacing w:after="0" w:line="259" w:lineRule="auto"/>
              <w:ind w:left="-17" w:right="0" w:firstLine="0"/>
              <w:jc w:val="left"/>
            </w:pPr>
            <w:r>
              <w:t xml:space="preserve"> </w:t>
            </w:r>
            <w:r>
              <w:tab/>
              <w:t xml:space="preserve"> </w:t>
            </w:r>
          </w:p>
          <w:p w14:paraId="519E80B8" w14:textId="77777777" w:rsidR="00BC1C08" w:rsidRDefault="00C70D69">
            <w:pPr>
              <w:spacing w:after="0" w:line="259" w:lineRule="auto"/>
              <w:ind w:left="-17" w:right="0" w:firstLine="0"/>
              <w:jc w:val="left"/>
            </w:pPr>
            <w:r>
              <w:t xml:space="preserve"> </w:t>
            </w:r>
          </w:p>
        </w:tc>
        <w:tc>
          <w:tcPr>
            <w:tcW w:w="0" w:type="auto"/>
            <w:vMerge/>
            <w:tcBorders>
              <w:top w:val="nil"/>
              <w:left w:val="single" w:sz="6" w:space="0" w:color="DEE2E6"/>
              <w:bottom w:val="nil"/>
              <w:right w:val="nil"/>
            </w:tcBorders>
          </w:tcPr>
          <w:p w14:paraId="48BCEF28" w14:textId="77777777" w:rsidR="00BC1C08" w:rsidRDefault="00BC1C08">
            <w:pPr>
              <w:spacing w:after="160" w:line="259" w:lineRule="auto"/>
              <w:ind w:left="0" w:right="0" w:firstLine="0"/>
              <w:jc w:val="left"/>
            </w:pPr>
          </w:p>
        </w:tc>
      </w:tr>
      <w:tr w:rsidR="00BC1C08" w14:paraId="35E7B5BF" w14:textId="77777777">
        <w:tblPrEx>
          <w:tblCellMar>
            <w:top w:w="41" w:type="dxa"/>
            <w:right w:w="13" w:type="dxa"/>
          </w:tblCellMar>
        </w:tblPrEx>
        <w:trPr>
          <w:trHeight w:val="385"/>
        </w:trPr>
        <w:tc>
          <w:tcPr>
            <w:tcW w:w="5411" w:type="dxa"/>
            <w:gridSpan w:val="2"/>
            <w:tcBorders>
              <w:top w:val="single" w:sz="6" w:space="0" w:color="DEE2E6"/>
              <w:left w:val="nil"/>
              <w:bottom w:val="nil"/>
              <w:right w:val="nil"/>
            </w:tcBorders>
            <w:shd w:val="clear" w:color="auto" w:fill="FFFFFF"/>
          </w:tcPr>
          <w:p w14:paraId="258C3BAC" w14:textId="77777777" w:rsidR="00BC1C08" w:rsidRDefault="00C70D69">
            <w:pPr>
              <w:spacing w:after="0" w:line="259" w:lineRule="auto"/>
              <w:ind w:left="2" w:right="0" w:firstLine="0"/>
              <w:jc w:val="left"/>
            </w:pPr>
            <w:r>
              <w:t xml:space="preserve"> </w:t>
            </w:r>
          </w:p>
        </w:tc>
        <w:tc>
          <w:tcPr>
            <w:tcW w:w="5822" w:type="dxa"/>
            <w:gridSpan w:val="2"/>
            <w:tcBorders>
              <w:top w:val="single" w:sz="6" w:space="0" w:color="DEE2E6"/>
              <w:left w:val="nil"/>
              <w:bottom w:val="nil"/>
              <w:right w:val="nil"/>
            </w:tcBorders>
            <w:shd w:val="clear" w:color="auto" w:fill="FFFFFF"/>
          </w:tcPr>
          <w:p w14:paraId="0FD9E9B6" w14:textId="77777777" w:rsidR="00BC1C08" w:rsidRDefault="00BC1C08">
            <w:pPr>
              <w:spacing w:after="160" w:line="259" w:lineRule="auto"/>
              <w:ind w:left="0" w:right="0" w:firstLine="0"/>
              <w:jc w:val="left"/>
            </w:pPr>
          </w:p>
        </w:tc>
      </w:tr>
    </w:tbl>
    <w:p w14:paraId="153436EF" w14:textId="77777777" w:rsidR="00BC1C08" w:rsidRDefault="00C70D69">
      <w:pPr>
        <w:ind w:left="-5" w:right="0"/>
      </w:pPr>
      <w:r>
        <w:t xml:space="preserve">El pensamiento político tiene uno de sus componentes centrales en la reflexión sobre el Estado. Ahora veremos los diferentes tipos de Estado que se conformaron en nuestra contemporaneidad.   </w:t>
      </w:r>
    </w:p>
    <w:p w14:paraId="325FE5D0" w14:textId="66B53CEA" w:rsidR="00BC1C08" w:rsidRDefault="00C70D69" w:rsidP="00C70D69">
      <w:pPr>
        <w:ind w:left="-5" w:right="0"/>
      </w:pPr>
      <w:r>
        <w:t>Recordamos que el Estado es, ante todo, una estructura instituci</w:t>
      </w:r>
      <w:r>
        <w:t>onal generadora de reglas. En este sentido, se distingue de otras instituciones porque se reserva el derecho exclusivo de fijar y cambiar las reglas que rigen la organización del sistema en su conjunto y de sus partes componentes. Consecuentemente, es la ú</w:t>
      </w:r>
      <w:r>
        <w:t xml:space="preserve">nica organización con capacidad para secularizar y universalizar las reglas que genera, y los individuos o grupos que de él forman parte están obligados a acatarlas. Sin embargo, esas reglas que configuran el orden legal son el fruto de un acuerdo o pacto </w:t>
      </w:r>
      <w:r>
        <w:t xml:space="preserve">entre el Estado y la sociedad y quedan consagradas en el contrato social, o constitución, lo que constituye la condición indispensable para la gobernabilidad del sistema.  </w:t>
      </w:r>
    </w:p>
    <w:p w14:paraId="3216C861" w14:textId="77777777" w:rsidR="00C70D69" w:rsidRDefault="00C70D69" w:rsidP="00C70D69">
      <w:pPr>
        <w:ind w:left="-5" w:right="0"/>
      </w:pPr>
    </w:p>
    <w:p w14:paraId="60F81EAE" w14:textId="77777777" w:rsidR="00C70D69" w:rsidRDefault="00C70D69" w:rsidP="00C70D69">
      <w:pPr>
        <w:ind w:left="-5" w:right="0"/>
      </w:pPr>
    </w:p>
    <w:p w14:paraId="3C5FCC2E" w14:textId="77777777" w:rsidR="00C70D69" w:rsidRDefault="00C70D69" w:rsidP="00C70D69">
      <w:pPr>
        <w:ind w:left="197" w:right="0" w:firstLine="0"/>
      </w:pPr>
    </w:p>
    <w:sectPr w:rsidR="00C70D69">
      <w:pgSz w:w="12240" w:h="15840"/>
      <w:pgMar w:top="581" w:right="468" w:bottom="44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B73"/>
    <w:multiLevelType w:val="hybridMultilevel"/>
    <w:tmpl w:val="66D8E34A"/>
    <w:lvl w:ilvl="0" w:tplc="346211C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52985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5671D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D649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E049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246F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4646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FEA9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50CEF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142A8A"/>
    <w:multiLevelType w:val="hybridMultilevel"/>
    <w:tmpl w:val="6F72C1AA"/>
    <w:lvl w:ilvl="0" w:tplc="1B62C576">
      <w:start w:val="1"/>
      <w:numFmt w:val="bullet"/>
      <w:lvlText w:val="•"/>
      <w:lvlJc w:val="left"/>
      <w:pPr>
        <w:ind w:left="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3670B0">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7C0F2E">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6E656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8FBD2">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3A1C98">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60546">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A8DE22">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EA2B38">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831F63"/>
    <w:multiLevelType w:val="hybridMultilevel"/>
    <w:tmpl w:val="7B4A550A"/>
    <w:lvl w:ilvl="0" w:tplc="C90ECF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E04C8">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023D6">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1C7DE8">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C29B8">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96CAA8">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A0A8C8">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610E8">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1007E8">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A83B51"/>
    <w:multiLevelType w:val="hybridMultilevel"/>
    <w:tmpl w:val="A1108B7C"/>
    <w:lvl w:ilvl="0" w:tplc="2C0A0001">
      <w:start w:val="1"/>
      <w:numFmt w:val="bullet"/>
      <w:lvlText w:val=""/>
      <w:lvlJc w:val="left"/>
      <w:pPr>
        <w:ind w:left="705" w:hanging="360"/>
      </w:pPr>
      <w:rPr>
        <w:rFonts w:ascii="Symbol" w:hAnsi="Symbol"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4" w15:restartNumberingAfterBreak="0">
    <w:nsid w:val="471E1ED4"/>
    <w:multiLevelType w:val="hybridMultilevel"/>
    <w:tmpl w:val="C2E8B25E"/>
    <w:lvl w:ilvl="0" w:tplc="60E8FA58">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AA62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8076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A2AE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ABE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5611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5212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8CA6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3CB3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E4376A"/>
    <w:multiLevelType w:val="hybridMultilevel"/>
    <w:tmpl w:val="1E40D66E"/>
    <w:lvl w:ilvl="0" w:tplc="CFDCA34A">
      <w:start w:val="1"/>
      <w:numFmt w:val="decimal"/>
      <w:lvlText w:val="%1."/>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68F1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AC21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DEAA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4F5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816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CB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E80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A47D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C08"/>
    <w:rsid w:val="00223A6D"/>
    <w:rsid w:val="00BC1C08"/>
    <w:rsid w:val="00C70D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F441"/>
  <w15:docId w15:val="{CBDF6A29-A860-447F-813D-E1941147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4"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2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977</Words>
  <Characters>5378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cp:lastModifiedBy>Ceci</cp:lastModifiedBy>
  <cp:revision>2</cp:revision>
  <dcterms:created xsi:type="dcterms:W3CDTF">2023-07-12T11:06:00Z</dcterms:created>
  <dcterms:modified xsi:type="dcterms:W3CDTF">2023-07-12T11:06:00Z</dcterms:modified>
</cp:coreProperties>
</file>