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900" w:rsidRDefault="007B5E35">
      <w:pPr>
        <w:rPr>
          <w:b/>
          <w:color w:val="FF0000"/>
          <w:sz w:val="32"/>
          <w:szCs w:val="32"/>
          <w:u w:val="single"/>
        </w:rPr>
      </w:pPr>
      <w:r>
        <w:rPr>
          <w:b/>
          <w:noProof/>
          <w:color w:val="FF0000"/>
          <w:sz w:val="32"/>
          <w:szCs w:val="32"/>
          <w:u w:val="single"/>
          <w:lang w:val="en-US"/>
        </w:rPr>
        <mc:AlternateContent>
          <mc:Choice Requires="wps">
            <w:drawing>
              <wp:anchor distT="0" distB="0" distL="114300" distR="114300" simplePos="0" relativeHeight="251659264" behindDoc="0" locked="0" layoutInCell="1" allowOverlap="1" wp14:anchorId="5FD94D9B" wp14:editId="2E832726">
                <wp:simplePos x="0" y="0"/>
                <wp:positionH relativeFrom="column">
                  <wp:posOffset>-66675</wp:posOffset>
                </wp:positionH>
                <wp:positionV relativeFrom="paragraph">
                  <wp:posOffset>-133350</wp:posOffset>
                </wp:positionV>
                <wp:extent cx="6267450" cy="0"/>
                <wp:effectExtent l="38100" t="38100" r="57150" b="95250"/>
                <wp:wrapNone/>
                <wp:docPr id="1" name="1 Conector recto"/>
                <wp:cNvGraphicFramePr/>
                <a:graphic xmlns:a="http://schemas.openxmlformats.org/drawingml/2006/main">
                  <a:graphicData uri="http://schemas.microsoft.com/office/word/2010/wordprocessingShape">
                    <wps:wsp>
                      <wps:cNvCnPr/>
                      <wps:spPr>
                        <a:xfrm>
                          <a:off x="0" y="0"/>
                          <a:ext cx="626745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1 Conector recto"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10.5pt" to="488.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" strokecolor="#4f81bd [3204]" strokeweight="2pt">
                <v:shadow on="t" color="black" opacity="24903f" origin=",.5" offset="0,.55556mm"/>
              </v:line>
            </w:pict>
          </mc:Fallback>
        </mc:AlternateContent>
      </w:r>
      <w:r>
        <w:rPr>
          <w:b/>
          <w:noProof/>
          <w:color w:val="FF0000"/>
          <w:sz w:val="32"/>
          <w:szCs w:val="32"/>
          <w:u w:val="single"/>
          <w:lang w:val="en-US"/>
        </w:rPr>
        <mc:AlternateContent>
          <mc:Choice Requires="wps">
            <w:drawing>
              <wp:anchor distT="0" distB="0" distL="114300" distR="114300" simplePos="0" relativeHeight="251661312" behindDoc="0" locked="0" layoutInCell="1" allowOverlap="1" wp14:anchorId="79B7B3D5" wp14:editId="177AE7F2">
                <wp:simplePos x="0" y="0"/>
                <wp:positionH relativeFrom="column">
                  <wp:posOffset>-66675</wp:posOffset>
                </wp:positionH>
                <wp:positionV relativeFrom="paragraph">
                  <wp:posOffset>-133350</wp:posOffset>
                </wp:positionV>
                <wp:extent cx="0" cy="8258175"/>
                <wp:effectExtent l="57150" t="19050" r="76200" b="85725"/>
                <wp:wrapNone/>
                <wp:docPr id="2" name="2 Conector recto"/>
                <wp:cNvGraphicFramePr/>
                <a:graphic xmlns:a="http://schemas.openxmlformats.org/drawingml/2006/main">
                  <a:graphicData uri="http://schemas.microsoft.com/office/word/2010/wordprocessingShape">
                    <wps:wsp>
                      <wps:cNvCnPr/>
                      <wps:spPr>
                        <a:xfrm>
                          <a:off x="0" y="0"/>
                          <a:ext cx="0" cy="8258175"/>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0.5pt" to="-5.25pt,6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" strokecolor="#4f81bd [3204]" strokeweight="2pt">
                <v:shadow on="t" color="black" opacity="24903f" origin=",.5" offset="0,.55556mm"/>
              </v:line>
            </w:pict>
          </mc:Fallback>
        </mc:AlternateContent>
      </w:r>
      <w:r>
        <w:rPr>
          <w:b/>
          <w:noProof/>
          <w:color w:val="FF0000"/>
          <w:sz w:val="32"/>
          <w:szCs w:val="32"/>
          <w:u w:val="single"/>
          <w:lang w:val="en-US"/>
        </w:rPr>
        <mc:AlternateContent>
          <mc:Choice Requires="wps">
            <w:drawing>
              <wp:anchor distT="0" distB="0" distL="114300" distR="114300" simplePos="0" relativeHeight="251663360" behindDoc="0" locked="0" layoutInCell="1" allowOverlap="1" wp14:anchorId="6120E23D" wp14:editId="45942842">
                <wp:simplePos x="0" y="0"/>
                <wp:positionH relativeFrom="column">
                  <wp:posOffset>6200775</wp:posOffset>
                </wp:positionH>
                <wp:positionV relativeFrom="paragraph">
                  <wp:posOffset>-133350</wp:posOffset>
                </wp:positionV>
                <wp:extent cx="1" cy="8210550"/>
                <wp:effectExtent l="57150" t="19050" r="76200" b="76200"/>
                <wp:wrapNone/>
                <wp:docPr id="3" name="3 Conector recto"/>
                <wp:cNvGraphicFramePr/>
                <a:graphic xmlns:a="http://schemas.openxmlformats.org/drawingml/2006/main">
                  <a:graphicData uri="http://schemas.microsoft.com/office/word/2010/wordprocessingShape">
                    <wps:wsp>
                      <wps:cNvCnPr/>
                      <wps:spPr>
                        <a:xfrm flipV="1">
                          <a:off x="0" y="0"/>
                          <a:ext cx="1" cy="8210550"/>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3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25pt,-10.5pt" to="488.25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" strokecolor="#4f81bd [3204]" strokeweight="2pt">
                <v:shadow on="t" color="black" opacity="24903f" origin=",.5" offset="0,.55556mm"/>
              </v:line>
            </w:pict>
          </mc:Fallback>
        </mc:AlternateContent>
      </w:r>
      <w:r w:rsidR="00DD7449">
        <w:rPr>
          <w:b/>
          <w:color w:val="FF0000"/>
          <w:sz w:val="32"/>
          <w:szCs w:val="32"/>
          <w:u w:val="single"/>
        </w:rPr>
        <w:t>Cambios Políticos y sociales entre 1943- 1946.</w:t>
      </w:r>
      <w:r w:rsidRPr="007B5E35">
        <w:rPr>
          <w:b/>
          <w:noProof/>
          <w:color w:val="FF0000"/>
          <w:sz w:val="32"/>
          <w:szCs w:val="32"/>
          <w:u w:val="single"/>
        </w:rPr>
        <w:t xml:space="preserve"> </w:t>
      </w:r>
    </w:p>
    <w:p w:rsidR="00DD7449" w:rsidRPr="00DD7449" w:rsidRDefault="00DD7449" w:rsidP="00DD7449">
      <w:pPr>
        <w:pStyle w:val="NormalWeb"/>
        <w:jc w:val="both"/>
        <w:rPr>
          <w:color w:val="000000"/>
          <w:sz w:val="27"/>
          <w:szCs w:val="27"/>
          <w:lang w:val="es-AR"/>
        </w:rPr>
      </w:pPr>
      <w:r w:rsidRPr="00DD7449">
        <w:rPr>
          <w:color w:val="000000"/>
          <w:sz w:val="27"/>
          <w:szCs w:val="27"/>
          <w:lang w:val="es-AR"/>
        </w:rPr>
        <w:t>El 4 de junio de 1943, se produjo el segundo golpe de estado de la historia argentina. Esta vez las Fuerzas Armadas no derribaron a un gobierno electo en comicios limpios, como sucediera en 1930, sino a Ramón Castillo, último exponente de una etapa de fraude electoral e incubación de una profunda crisis de legitimidad política, a la que los partidos de la época no dieron respuesta y que se sumó al debate en torno al agotamiento del modelo de desarrollo gestado a fines del siglo XIX.</w:t>
      </w:r>
    </w:p>
    <w:p w:rsidR="00DD7449" w:rsidRPr="00DD7449" w:rsidRDefault="00DD7449" w:rsidP="00DD7449">
      <w:pPr>
        <w:pStyle w:val="NormalWeb"/>
        <w:jc w:val="both"/>
        <w:rPr>
          <w:color w:val="000000"/>
          <w:sz w:val="27"/>
          <w:szCs w:val="27"/>
          <w:lang w:val="es-AR"/>
        </w:rPr>
      </w:pPr>
      <w:r w:rsidRPr="00DD7449">
        <w:rPr>
          <w:color w:val="000000"/>
          <w:sz w:val="27"/>
          <w:szCs w:val="27"/>
          <w:lang w:val="es-AR"/>
        </w:rPr>
        <w:t>El gobierno militar de 1943-1946 llevó a cabo una reorganización estatal que resulta fundamental para comprender el ulterior derrotero del peronismo en el poder y cuyo estudio adquirió relevancia en la última década. Durante ese breve e intenso lapso ya no se trató de sostener dispositivos de intervención económica y social para contener una situación pretendidamente transitoria como había acontecido en los años ‘30, sino de generar un aparato de intervención permanente capaz de operar sobre diversos aspectos del funcionamiento social. En ese contexto, la jerarquización de los problemas del trabajo dentro de la estructura administrativa del Estado fue notable. Después de casi cuatro décadas de funcionamiento del Departamento Nacional del Trabajo, en octubre de 1943, el Coronel Juan Domingo Perón recaló allí, motorizando la creación de la institución que lo sucedería, la Secretaría de Trabajo y Previsión. Si bien la STyP se construyó sobre la base del DNT, desbordó esa herencia con creces al absorber funciones que pertenecían a las órbitas de asistencia y previsión social.</w:t>
      </w:r>
    </w:p>
    <w:p w:rsidR="00DD7449" w:rsidRPr="00DD7449" w:rsidRDefault="00DD7449" w:rsidP="00DD7449">
      <w:pPr>
        <w:pStyle w:val="NormalWeb"/>
        <w:jc w:val="both"/>
        <w:rPr>
          <w:color w:val="000000"/>
          <w:sz w:val="27"/>
          <w:szCs w:val="27"/>
          <w:lang w:val="es-AR"/>
        </w:rPr>
      </w:pPr>
      <w:r w:rsidRPr="00DD7449">
        <w:rPr>
          <w:color w:val="000000"/>
          <w:sz w:val="27"/>
          <w:szCs w:val="27"/>
          <w:lang w:val="es-AR"/>
        </w:rPr>
        <w:t>El nacimiento de la STyP está tan indisolublemente ligado al del peronismo como movimiento, que la repartición ha sido primordialmente analizada a partir del impacto que tuvieron sus resoluciones entre distintos sectores del capital y el trabajo. Esos abordajes han priorizado, sobre todo, la comprensión del vínculo peronismo-movimiento obrero, supeditando a ella el análisis de la centralidad que tuvieron los recursos ya presentes en un Estado intervencionista par</w:t>
      </w:r>
      <w:r>
        <w:rPr>
          <w:color w:val="000000"/>
          <w:sz w:val="27"/>
          <w:szCs w:val="27"/>
          <w:lang w:val="es-AR"/>
        </w:rPr>
        <w:t xml:space="preserve">a la construcción del peronismo. </w:t>
      </w:r>
      <w:r w:rsidRPr="00DD7449">
        <w:rPr>
          <w:color w:val="000000"/>
          <w:sz w:val="27"/>
          <w:szCs w:val="27"/>
          <w:lang w:val="es-AR"/>
        </w:rPr>
        <w:t>El estudio de la STyP, como aditamento, se encuentra condicionado por la destrucción de buena parte de los archivos estatales del que a partir de 1949 se transformaría en Ministerio de Trabajo y Previsión.</w:t>
      </w:r>
      <w:r w:rsidRPr="00DD7449">
        <w:rPr>
          <w:color w:val="000000"/>
          <w:sz w:val="27"/>
          <w:szCs w:val="27"/>
          <w:vertAlign w:val="superscript"/>
          <w:lang w:val="es-AR"/>
        </w:rPr>
        <w:t xml:space="preserve"> </w:t>
      </w:r>
      <w:r w:rsidRPr="00DD7449">
        <w:rPr>
          <w:color w:val="000000"/>
          <w:sz w:val="27"/>
          <w:szCs w:val="27"/>
          <w:lang w:val="es-AR"/>
        </w:rPr>
        <w:t xml:space="preserve"> Sin embargo, el análisis de las publicaciones oficiales de la repartición permite recomponer fragmentos de un rompecabezas, que para ser completado precisa del entrecruzamiento con otros tipos de fuentes capaces de sumar y/o ampliar información sobre el tema y el período: publicaciones especializadas, testimonios, biografías, etc.</w:t>
      </w:r>
    </w:p>
    <w:p w:rsidR="00DD7449" w:rsidRPr="00DD7449" w:rsidRDefault="00DD7449" w:rsidP="00DD7449">
      <w:pPr>
        <w:pStyle w:val="NormalWeb"/>
        <w:jc w:val="both"/>
        <w:rPr>
          <w:color w:val="000000"/>
          <w:sz w:val="27"/>
          <w:szCs w:val="27"/>
          <w:lang w:val="es-AR"/>
        </w:rPr>
      </w:pPr>
      <w:r w:rsidRPr="00DD7449">
        <w:rPr>
          <w:color w:val="000000"/>
          <w:sz w:val="27"/>
          <w:szCs w:val="27"/>
          <w:lang w:val="es-AR"/>
        </w:rPr>
        <w:t>En este lapso, la lógica del “tiempo corto” primó en la STyP en un doble aspecto: primero, a causa de la “realimentación institucional” que implica todo proceso de expansión estatal.</w:t>
      </w:r>
      <w:r w:rsidRPr="00DD7449">
        <w:rPr>
          <w:color w:val="000000"/>
          <w:sz w:val="27"/>
          <w:szCs w:val="27"/>
          <w:vertAlign w:val="superscript"/>
          <w:lang w:val="es-AR"/>
        </w:rPr>
        <w:t xml:space="preserve"> </w:t>
      </w:r>
      <w:r w:rsidRPr="00DD7449">
        <w:rPr>
          <w:color w:val="000000"/>
          <w:sz w:val="27"/>
          <w:szCs w:val="27"/>
          <w:lang w:val="es-AR"/>
        </w:rPr>
        <w:t xml:space="preserve"> El armado de la nueva institución no se hizo de una vez y para siempre. El decreto de su creación en noviembre de 1943 estableció un organigrama </w:t>
      </w:r>
      <w:r w:rsidRPr="00DD7449">
        <w:rPr>
          <w:color w:val="000000"/>
          <w:sz w:val="27"/>
          <w:szCs w:val="27"/>
          <w:lang w:val="es-AR"/>
        </w:rPr>
        <w:lastRenderedPageBreak/>
        <w:t>que fue apenas un punto de partida y que sufrió modificaciones y reformulaciones durante los primeros años, estabilizándose de manera relativa hacia 1946/1947. Segundo, por el ritmo veloz propio del armado de alianzas políticas, que influyó grandemente en el funcionamiento de la agencia e impregnó la cotidianeidad de los comienzos, al compás de las internas militares y las reacciones de distintos sectores sociales.</w:t>
      </w:r>
    </w:p>
    <w:p w:rsidR="00DD7449" w:rsidRPr="00DD7449" w:rsidRDefault="002C02FE" w:rsidP="00DD7449">
      <w:pPr>
        <w:pStyle w:val="NormalWeb"/>
        <w:jc w:val="both"/>
        <w:rPr>
          <w:color w:val="000000"/>
          <w:sz w:val="27"/>
          <w:szCs w:val="27"/>
          <w:lang w:val="es-AR"/>
        </w:rPr>
      </w:pPr>
      <w:r>
        <w:rPr>
          <w:b/>
          <w:noProof/>
          <w:color w:val="FF0000"/>
          <w:sz w:val="32"/>
          <w:szCs w:val="32"/>
          <w:u w:val="single"/>
        </w:rPr>
        <mc:AlternateContent>
          <mc:Choice Requires="wps">
            <w:drawing>
              <wp:anchor distT="0" distB="0" distL="114300" distR="114300" simplePos="0" relativeHeight="251667456" behindDoc="0" locked="0" layoutInCell="1" allowOverlap="1" wp14:anchorId="6DD16F58" wp14:editId="16A96AAC">
                <wp:simplePos x="0" y="0"/>
                <wp:positionH relativeFrom="column">
                  <wp:posOffset>6353175</wp:posOffset>
                </wp:positionH>
                <wp:positionV relativeFrom="paragraph">
                  <wp:posOffset>-1437005</wp:posOffset>
                </wp:positionV>
                <wp:extent cx="0" cy="3857625"/>
                <wp:effectExtent l="57150" t="19050" r="76200" b="85725"/>
                <wp:wrapNone/>
                <wp:docPr id="6" name="6 Conector recto"/>
                <wp:cNvGraphicFramePr/>
                <a:graphic xmlns:a="http://schemas.openxmlformats.org/drawingml/2006/main">
                  <a:graphicData uri="http://schemas.microsoft.com/office/word/2010/wordprocessingShape">
                    <wps:wsp>
                      <wps:cNvCnPr/>
                      <wps:spPr>
                        <a:xfrm flipV="1">
                          <a:off x="0" y="0"/>
                          <a:ext cx="0" cy="3857625"/>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6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0.25pt,-113.15pt" to="500.25pt,1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" strokecolor="#4f81bd [3204]" strokeweight="2pt">
                <v:shadow on="t" color="black" opacity="24903f" origin=",.5" offset="0,.55556mm"/>
              </v:line>
            </w:pict>
          </mc:Fallback>
        </mc:AlternateContent>
      </w:r>
      <w:bookmarkStart w:id="0" w:name="_GoBack"/>
      <w:r>
        <w:rPr>
          <w:b/>
          <w:noProof/>
          <w:color w:val="FF0000"/>
          <w:sz w:val="32"/>
          <w:szCs w:val="32"/>
          <w:u w:val="single"/>
        </w:rPr>
        <mc:AlternateContent>
          <mc:Choice Requires="wps">
            <w:drawing>
              <wp:anchor distT="0" distB="0" distL="114300" distR="114300" simplePos="0" relativeHeight="251669504" behindDoc="0" locked="0" layoutInCell="1" allowOverlap="1" wp14:anchorId="23B58BC1" wp14:editId="06BF23EA">
                <wp:simplePos x="0" y="0"/>
                <wp:positionH relativeFrom="column">
                  <wp:posOffset>-123825</wp:posOffset>
                </wp:positionH>
                <wp:positionV relativeFrom="paragraph">
                  <wp:posOffset>2420620</wp:posOffset>
                </wp:positionV>
                <wp:extent cx="6477000" cy="0"/>
                <wp:effectExtent l="38100" t="38100" r="57150" b="95250"/>
                <wp:wrapNone/>
                <wp:docPr id="7" name="7 Conector recto"/>
                <wp:cNvGraphicFramePr/>
                <a:graphic xmlns:a="http://schemas.openxmlformats.org/drawingml/2006/main">
                  <a:graphicData uri="http://schemas.microsoft.com/office/word/2010/wordprocessingShape">
                    <wps:wsp>
                      <wps:cNvCnPr/>
                      <wps:spPr>
                        <a:xfrm>
                          <a:off x="0" y="0"/>
                          <a:ext cx="6477000" cy="0"/>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7 Conector recto"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5pt,190.6pt" to="500.25pt,1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" strokecolor="#4f81bd [3204]" strokeweight="2pt">
                <v:shadow on="t" color="black" opacity="24903f" origin=",.5" offset="0,.55556mm"/>
              </v:line>
            </w:pict>
          </mc:Fallback>
        </mc:AlternateContent>
      </w:r>
      <w:bookmarkEnd w:id="0"/>
      <w:r>
        <w:rPr>
          <w:b/>
          <w:noProof/>
          <w:color w:val="FF0000"/>
          <w:sz w:val="32"/>
          <w:szCs w:val="32"/>
          <w:u w:val="single"/>
        </w:rPr>
        <mc:AlternateContent>
          <mc:Choice Requires="wps">
            <w:drawing>
              <wp:anchor distT="0" distB="0" distL="114300" distR="114300" simplePos="0" relativeHeight="251665408" behindDoc="0" locked="0" layoutInCell="1" allowOverlap="1" wp14:anchorId="2CC01FC4" wp14:editId="618F755F">
                <wp:simplePos x="0" y="0"/>
                <wp:positionH relativeFrom="column">
                  <wp:posOffset>-123825</wp:posOffset>
                </wp:positionH>
                <wp:positionV relativeFrom="paragraph">
                  <wp:posOffset>-1560830</wp:posOffset>
                </wp:positionV>
                <wp:extent cx="0" cy="3981450"/>
                <wp:effectExtent l="57150" t="19050" r="76200" b="76200"/>
                <wp:wrapNone/>
                <wp:docPr id="5" name="5 Conector recto"/>
                <wp:cNvGraphicFramePr/>
                <a:graphic xmlns:a="http://schemas.openxmlformats.org/drawingml/2006/main">
                  <a:graphicData uri="http://schemas.microsoft.com/office/word/2010/wordprocessingShape">
                    <wps:wsp>
                      <wps:cNvCnPr/>
                      <wps:spPr>
                        <a:xfrm>
                          <a:off x="0" y="0"/>
                          <a:ext cx="0" cy="3981450"/>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5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122.9pt" to="-9.75pt,1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" strokecolor="#4f81bd [3204]" strokeweight="2pt">
                <v:shadow on="t" color="black" opacity="24903f" origin=",.5" offset="0,.55556mm"/>
              </v:line>
            </w:pict>
          </mc:Fallback>
        </mc:AlternateContent>
      </w:r>
      <w:r w:rsidR="00DD7449" w:rsidRPr="00DD7449">
        <w:rPr>
          <w:color w:val="000000"/>
          <w:sz w:val="27"/>
          <w:szCs w:val="27"/>
          <w:lang w:val="es-AR"/>
        </w:rPr>
        <w:t>Perón nucleó allí a figuras procedentes de diversos ámbitos, algunos de los cuales terminarían más tarde ocupando distintos lugares gubernamentales -de mayor o menor visibilidad, dentro o fuera de la STyP- a partir de 1946. Personajes más conocidos como Domingo Mercante, Juan Atilio Bramuglia o José Francisco Figuerola, junto a otros que lo fueron menos, recorrieron los pasillos de la Secretaría ofreciendo un enorme capital de conocimiento y contactos, a pesar de que no todos ocuparon cargos formales. Esto debe ponernos alerta: las más de las veces, las fuentes sólo permiten reconstruir los nombres que ocupaban los puestos de primer orden en el organigrama, lo cual no siempre se condice ni es directamente proporcional a su auténtica gravitación dentro de la agencia o dentro del círculo de confianza de Perón. En lo que sigue, entonces, contextualizamos la creación de la STyP, recuperando algunos elementos organizativos así como información sobre algunos de estos personajes.</w:t>
      </w:r>
    </w:p>
    <w:p w:rsidR="00DD7449" w:rsidRPr="00DD7449" w:rsidRDefault="00DD7449">
      <w:pPr>
        <w:rPr>
          <w:sz w:val="24"/>
          <w:szCs w:val="24"/>
        </w:rPr>
      </w:pPr>
    </w:p>
    <w:sectPr w:rsidR="00DD7449" w:rsidRPr="00DD74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449"/>
    <w:rsid w:val="002C02FE"/>
    <w:rsid w:val="007B5E35"/>
    <w:rsid w:val="00C10900"/>
    <w:rsid w:val="00DD7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D744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nculo">
    <w:name w:val="Hyperlink"/>
    <w:basedOn w:val="Fuentedeprrafopredeter"/>
    <w:uiPriority w:val="99"/>
    <w:semiHidden/>
    <w:unhideWhenUsed/>
    <w:rsid w:val="00DD744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D744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nculo">
    <w:name w:val="Hyperlink"/>
    <w:basedOn w:val="Fuentedeprrafopredeter"/>
    <w:uiPriority w:val="99"/>
    <w:semiHidden/>
    <w:unhideWhenUsed/>
    <w:rsid w:val="00DD74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83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72C55-E4BA-40B1-BC37-6B145DA05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657</Words>
  <Characters>3751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dc:creator>
  <cp:lastModifiedBy>ROXANA</cp:lastModifiedBy>
  <cp:revision>2</cp:revision>
  <dcterms:created xsi:type="dcterms:W3CDTF">2022-10-27T12:18:00Z</dcterms:created>
  <dcterms:modified xsi:type="dcterms:W3CDTF">2022-10-28T01:15:00Z</dcterms:modified>
</cp:coreProperties>
</file>