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B8" w:rsidRPr="00FC53B8" w:rsidRDefault="00FC53B8" w:rsidP="00FC53B8">
      <w:pPr>
        <w:shd w:val="clear" w:color="auto" w:fill="FCFCFC"/>
        <w:spacing w:before="525" w:after="360" w:line="510" w:lineRule="atLeast"/>
        <w:jc w:val="center"/>
        <w:outlineLvl w:val="1"/>
        <w:rPr>
          <w:rFonts w:ascii="Arial" w:eastAsia="Times New Roman" w:hAnsi="Arial" w:cs="Arial"/>
          <w:b/>
          <w:bCs/>
          <w:color w:val="C00000"/>
          <w:spacing w:val="-15"/>
          <w:sz w:val="44"/>
          <w:szCs w:val="44"/>
          <w:u w:val="single"/>
        </w:rPr>
      </w:pPr>
      <w:bookmarkStart w:id="0" w:name="_GoBack"/>
      <w:bookmarkEnd w:id="0"/>
      <w:r w:rsidRPr="00FC53B8">
        <w:rPr>
          <w:rFonts w:ascii="Arial" w:eastAsia="Times New Roman" w:hAnsi="Arial" w:cs="Arial"/>
          <w:b/>
          <w:bCs/>
          <w:color w:val="C00000"/>
          <w:spacing w:val="-15"/>
          <w:sz w:val="44"/>
          <w:szCs w:val="44"/>
          <w:u w:val="single"/>
        </w:rPr>
        <w:t>¿Qué es el Modelo agroexportador?</w:t>
      </w:r>
    </w:p>
    <w:p w:rsidR="00FC53B8" w:rsidRPr="00FC53B8" w:rsidRDefault="00FC53B8" w:rsidP="00FC53B8">
      <w:pPr>
        <w:shd w:val="clear" w:color="auto" w:fill="FCFCFC"/>
        <w:spacing w:before="525" w:after="360" w:line="360" w:lineRule="auto"/>
        <w:jc w:val="both"/>
        <w:outlineLvl w:val="1"/>
        <w:rPr>
          <w:rFonts w:cs="Tahoma"/>
          <w:sz w:val="28"/>
          <w:szCs w:val="28"/>
          <w:shd w:val="clear" w:color="auto" w:fill="FFFFFF"/>
        </w:rPr>
      </w:pPr>
      <w:r w:rsidRPr="00FC53B8">
        <w:rPr>
          <w:rFonts w:cs="Tahoma"/>
          <w:sz w:val="28"/>
          <w:szCs w:val="28"/>
          <w:shd w:val="clear" w:color="auto" w:fill="FFFFFF"/>
        </w:rPr>
        <w:t>El modelo agroexportador fue </w:t>
      </w:r>
      <w:r w:rsidRPr="00FC53B8">
        <w:rPr>
          <w:rStyle w:val="Textoennegrita"/>
          <w:rFonts w:cs="Tahoma"/>
          <w:b w:val="0"/>
          <w:sz w:val="28"/>
          <w:szCs w:val="28"/>
        </w:rPr>
        <w:t>una organización económica propia de ciertos</w:t>
      </w:r>
      <w:r w:rsidRPr="00FC53B8">
        <w:rPr>
          <w:rStyle w:val="Textoennegrita"/>
          <w:rFonts w:cs="Tahoma"/>
          <w:sz w:val="28"/>
          <w:szCs w:val="28"/>
        </w:rPr>
        <w:t> </w:t>
      </w:r>
      <w:hyperlink r:id="rId5" w:history="1">
        <w:r w:rsidRPr="00FC53B8">
          <w:rPr>
            <w:rStyle w:val="Hipervnculo"/>
            <w:rFonts w:cs="Tahoma"/>
            <w:bCs/>
            <w:color w:val="auto"/>
            <w:sz w:val="28"/>
            <w:szCs w:val="28"/>
            <w:u w:val="none"/>
          </w:rPr>
          <w:t>países latinoamericanos</w:t>
        </w:r>
      </w:hyperlink>
      <w:r w:rsidRPr="00FC53B8">
        <w:rPr>
          <w:rFonts w:cs="Tahoma"/>
          <w:sz w:val="28"/>
          <w:szCs w:val="28"/>
          <w:shd w:val="clear" w:color="auto" w:fill="FFFFFF"/>
        </w:rPr>
        <w:t>, pero en particular de </w:t>
      </w:r>
      <w:hyperlink r:id="rId6" w:history="1">
        <w:r w:rsidRPr="00FC53B8">
          <w:rPr>
            <w:rStyle w:val="Hipervnculo"/>
            <w:rFonts w:cs="Tahoma"/>
            <w:color w:val="auto"/>
            <w:sz w:val="28"/>
            <w:szCs w:val="28"/>
            <w:u w:val="none"/>
          </w:rPr>
          <w:t>Argentina</w:t>
        </w:r>
      </w:hyperlink>
      <w:r w:rsidRPr="00FC53B8">
        <w:rPr>
          <w:rFonts w:cs="Tahoma"/>
          <w:sz w:val="28"/>
          <w:szCs w:val="28"/>
          <w:shd w:val="clear" w:color="auto" w:fill="FFFFFF"/>
        </w:rPr>
        <w:t>, que tuvo lugar a finales del siglo XIX y consistió en el aprovechamiento masivo de sus plataformas territoriales para desarrollar el cultivo y la explotación de </w:t>
      </w:r>
      <w:hyperlink r:id="rId7" w:history="1">
        <w:r w:rsidRPr="00FC53B8">
          <w:rPr>
            <w:rStyle w:val="Hipervnculo"/>
            <w:rFonts w:cs="Tahoma"/>
            <w:color w:val="auto"/>
            <w:sz w:val="28"/>
            <w:szCs w:val="28"/>
            <w:u w:val="none"/>
          </w:rPr>
          <w:t>materias primas</w:t>
        </w:r>
      </w:hyperlink>
      <w:r w:rsidRPr="00FC53B8">
        <w:rPr>
          <w:rFonts w:cs="Tahoma"/>
          <w:sz w:val="28"/>
          <w:szCs w:val="28"/>
          <w:shd w:val="clear" w:color="auto" w:fill="FFFFFF"/>
        </w:rPr>
        <w:t> del agro con fines de exportación, como principal fuente de ingreso</w:t>
      </w:r>
      <w:r w:rsidRPr="00FC53B8">
        <w:rPr>
          <w:rFonts w:cs="Tahoma"/>
          <w:sz w:val="28"/>
          <w:szCs w:val="28"/>
          <w:shd w:val="clear" w:color="auto" w:fill="FFFFFF"/>
        </w:rPr>
        <w:t>.</w:t>
      </w:r>
    </w:p>
    <w:p w:rsidR="00FC53B8" w:rsidRPr="00FC53B8" w:rsidRDefault="00FC53B8" w:rsidP="00FC53B8">
      <w:pPr>
        <w:pStyle w:val="NormalWeb"/>
        <w:spacing w:line="360" w:lineRule="auto"/>
        <w:jc w:val="both"/>
        <w:rPr>
          <w:rFonts w:asciiTheme="minorHAnsi" w:eastAsia="Times New Roman" w:hAnsiTheme="minorHAnsi" w:cs="Tahoma"/>
          <w:sz w:val="28"/>
          <w:szCs w:val="28"/>
        </w:rPr>
      </w:pPr>
      <w:r w:rsidRPr="00FC53B8">
        <w:rPr>
          <w:rFonts w:asciiTheme="minorHAnsi" w:eastAsia="Times New Roman" w:hAnsiTheme="minorHAnsi" w:cs="Arial"/>
          <w:bCs/>
          <w:spacing w:val="-15"/>
          <w:sz w:val="28"/>
          <w:szCs w:val="28"/>
        </w:rPr>
        <w:t xml:space="preserve"> </w:t>
      </w:r>
      <w:r w:rsidRPr="00FC53B8">
        <w:rPr>
          <w:rFonts w:asciiTheme="minorHAnsi" w:eastAsia="Times New Roman" w:hAnsiTheme="minorHAnsi" w:cs="Tahoma"/>
          <w:sz w:val="28"/>
          <w:szCs w:val="28"/>
        </w:rPr>
        <w:t>Este modelo</w:t>
      </w:r>
      <w:r w:rsidRPr="00FC53B8">
        <w:rPr>
          <w:rFonts w:asciiTheme="minorHAnsi" w:eastAsia="Times New Roman" w:hAnsiTheme="minorHAnsi" w:cs="Tahoma"/>
          <w:bCs/>
          <w:sz w:val="28"/>
          <w:szCs w:val="28"/>
        </w:rPr>
        <w:t> coincide en casos como el argentino con el establecimiento del Estado nacional</w:t>
      </w:r>
      <w:r w:rsidRPr="00FC53B8">
        <w:rPr>
          <w:rFonts w:asciiTheme="minorHAnsi" w:eastAsia="Times New Roman" w:hAnsiTheme="minorHAnsi" w:cs="Tahoma"/>
          <w:sz w:val="28"/>
          <w:szCs w:val="28"/>
        </w:rPr>
        <w:t>, por lo que se vincula profundamente con las raíces imaginarias de la nación, es decir, forma parte importante de su propia historia económica.</w:t>
      </w:r>
    </w:p>
    <w:p w:rsidR="00FC53B8" w:rsidRPr="00FC53B8" w:rsidRDefault="00FC53B8" w:rsidP="00FC53B8">
      <w:pPr>
        <w:spacing w:before="100" w:beforeAutospacing="1" w:after="100" w:afterAutospacing="1" w:line="360" w:lineRule="auto"/>
        <w:jc w:val="both"/>
        <w:rPr>
          <w:rFonts w:eastAsia="Times New Roman" w:cs="Tahoma"/>
          <w:sz w:val="28"/>
          <w:szCs w:val="28"/>
        </w:rPr>
      </w:pPr>
      <w:r w:rsidRPr="00FC53B8">
        <w:rPr>
          <w:rFonts w:eastAsia="Times New Roman" w:cs="Tahoma"/>
          <w:sz w:val="28"/>
          <w:szCs w:val="28"/>
        </w:rPr>
        <w:t>El modelo agroexportador</w:t>
      </w:r>
      <w:r w:rsidRPr="00FC53B8">
        <w:rPr>
          <w:rFonts w:eastAsia="Times New Roman" w:cs="Tahoma"/>
          <w:bCs/>
          <w:sz w:val="28"/>
          <w:szCs w:val="28"/>
        </w:rPr>
        <w:t> instauró un importante flujo económico entre algunas potencias industriales</w:t>
      </w:r>
      <w:r w:rsidRPr="00FC53B8">
        <w:rPr>
          <w:rFonts w:eastAsia="Times New Roman" w:cs="Tahoma"/>
          <w:sz w:val="28"/>
          <w:szCs w:val="28"/>
        </w:rPr>
        <w:t> como Gran Bretaña, </w:t>
      </w:r>
      <w:hyperlink r:id="rId8" w:history="1">
        <w:r w:rsidRPr="00FC53B8">
          <w:rPr>
            <w:rFonts w:eastAsia="Times New Roman" w:cs="Tahoma"/>
            <w:sz w:val="28"/>
            <w:szCs w:val="28"/>
          </w:rPr>
          <w:t>Francia</w:t>
        </w:r>
      </w:hyperlink>
      <w:r w:rsidRPr="00FC53B8">
        <w:rPr>
          <w:rFonts w:eastAsia="Times New Roman" w:cs="Tahoma"/>
          <w:sz w:val="28"/>
          <w:szCs w:val="28"/>
        </w:rPr>
        <w:t> o los Estados Unidos y las naciones jóvenes latinoamericanas, modelando la </w:t>
      </w:r>
      <w:hyperlink r:id="rId9" w:history="1">
        <w:r w:rsidRPr="00FC53B8">
          <w:rPr>
            <w:rFonts w:eastAsia="Times New Roman" w:cs="Tahoma"/>
            <w:sz w:val="28"/>
            <w:szCs w:val="28"/>
          </w:rPr>
          <w:t>sociedad</w:t>
        </w:r>
      </w:hyperlink>
      <w:r w:rsidRPr="00FC53B8">
        <w:rPr>
          <w:rFonts w:eastAsia="Times New Roman" w:cs="Tahoma"/>
          <w:sz w:val="28"/>
          <w:szCs w:val="28"/>
        </w:rPr>
        <w:t> de estas últimas en base a una economía exportadora. A continuación, un resumen del modelo, a través de sus principales características.</w:t>
      </w:r>
    </w:p>
    <w:p w:rsidR="00FC53B8" w:rsidRPr="00FC53B8" w:rsidRDefault="00FC53B8" w:rsidP="00FC53B8">
      <w:pPr>
        <w:pStyle w:val="NormalWeb"/>
        <w:spacing w:line="360" w:lineRule="auto"/>
        <w:jc w:val="both"/>
        <w:rPr>
          <w:rFonts w:asciiTheme="minorHAnsi" w:eastAsia="Times New Roman" w:hAnsiTheme="minorHAnsi" w:cs="Tahoma"/>
          <w:sz w:val="28"/>
          <w:szCs w:val="28"/>
        </w:rPr>
      </w:pPr>
      <w:r w:rsidRPr="00FC53B8">
        <w:rPr>
          <w:rFonts w:asciiTheme="minorHAnsi" w:eastAsia="Times New Roman" w:hAnsiTheme="minorHAnsi" w:cs="Arial"/>
          <w:bCs/>
          <w:spacing w:val="-15"/>
          <w:sz w:val="28"/>
          <w:szCs w:val="28"/>
        </w:rPr>
        <w:t xml:space="preserve"> </w:t>
      </w:r>
      <w:r w:rsidRPr="00FC53B8">
        <w:rPr>
          <w:rFonts w:asciiTheme="minorHAnsi" w:eastAsia="Times New Roman" w:hAnsiTheme="minorHAnsi" w:cs="Tahoma"/>
          <w:sz w:val="28"/>
          <w:szCs w:val="28"/>
        </w:rPr>
        <w:t>A menudo se dice que este modelo de economía de exportación agraria </w:t>
      </w:r>
      <w:r w:rsidRPr="00FC53B8">
        <w:rPr>
          <w:rFonts w:asciiTheme="minorHAnsi" w:eastAsia="Times New Roman" w:hAnsiTheme="minorHAnsi" w:cs="Tahoma"/>
          <w:bCs/>
          <w:sz w:val="28"/>
          <w:szCs w:val="28"/>
        </w:rPr>
        <w:t>nació en la Argentina y otros países en situación similar</w:t>
      </w:r>
      <w:r w:rsidRPr="00FC53B8">
        <w:rPr>
          <w:rFonts w:asciiTheme="minorHAnsi" w:eastAsia="Times New Roman" w:hAnsiTheme="minorHAnsi" w:cs="Tahoma"/>
          <w:sz w:val="28"/>
          <w:szCs w:val="28"/>
        </w:rPr>
        <w:t>, que disponían de una extensa plataforma territorial aprovechable en términos agrícolas y productivos.</w:t>
      </w:r>
    </w:p>
    <w:p w:rsidR="00FC53B8" w:rsidRPr="00FC53B8" w:rsidRDefault="00FC53B8" w:rsidP="00FC53B8">
      <w:pPr>
        <w:spacing w:before="100" w:beforeAutospacing="1" w:after="100" w:afterAutospacing="1" w:line="360" w:lineRule="auto"/>
        <w:jc w:val="both"/>
        <w:rPr>
          <w:rFonts w:eastAsia="Times New Roman" w:cs="Tahoma"/>
          <w:sz w:val="28"/>
          <w:szCs w:val="28"/>
        </w:rPr>
      </w:pPr>
      <w:r w:rsidRPr="00FC53B8">
        <w:rPr>
          <w:rFonts w:eastAsia="Times New Roman" w:cs="Tahoma"/>
          <w:sz w:val="28"/>
          <w:szCs w:val="28"/>
        </w:rPr>
        <w:t>Además, </w:t>
      </w:r>
      <w:r w:rsidRPr="00FC53B8">
        <w:rPr>
          <w:rFonts w:eastAsia="Times New Roman" w:cs="Tahoma"/>
          <w:bCs/>
          <w:sz w:val="28"/>
          <w:szCs w:val="28"/>
        </w:rPr>
        <w:t>se trataba de naciones jóvenes</w:t>
      </w:r>
      <w:r w:rsidRPr="00FC53B8">
        <w:rPr>
          <w:rFonts w:eastAsia="Times New Roman" w:cs="Tahoma"/>
          <w:sz w:val="28"/>
          <w:szCs w:val="28"/>
        </w:rPr>
        <w:t>, cuya independencia de </w:t>
      </w:r>
      <w:hyperlink r:id="rId10" w:history="1">
        <w:r w:rsidRPr="00FC53B8">
          <w:rPr>
            <w:rFonts w:eastAsia="Times New Roman" w:cs="Tahoma"/>
            <w:sz w:val="28"/>
            <w:szCs w:val="28"/>
          </w:rPr>
          <w:t>Europa</w:t>
        </w:r>
      </w:hyperlink>
      <w:r w:rsidRPr="00FC53B8">
        <w:rPr>
          <w:rFonts w:eastAsia="Times New Roman" w:cs="Tahoma"/>
          <w:sz w:val="28"/>
          <w:szCs w:val="28"/>
        </w:rPr>
        <w:t> se había logrado a principios del siglo, pero que gozaban de la suficiente inversión extranjera como para emprender un proyecto agrícola a gran escala.</w:t>
      </w:r>
    </w:p>
    <w:p w:rsidR="00FC53B8" w:rsidRPr="00FC53B8" w:rsidRDefault="00FC53B8" w:rsidP="00FC53B8">
      <w:pPr>
        <w:pStyle w:val="NormalWeb"/>
        <w:spacing w:line="360" w:lineRule="auto"/>
        <w:jc w:val="both"/>
        <w:rPr>
          <w:rFonts w:asciiTheme="minorHAnsi" w:eastAsia="Times New Roman" w:hAnsiTheme="minorHAnsi" w:cs="Tahoma"/>
          <w:sz w:val="28"/>
          <w:szCs w:val="28"/>
        </w:rPr>
      </w:pPr>
      <w:r w:rsidRPr="00FC53B8">
        <w:rPr>
          <w:rFonts w:asciiTheme="minorHAnsi" w:eastAsia="Times New Roman" w:hAnsiTheme="minorHAnsi" w:cs="Tahoma"/>
          <w:sz w:val="28"/>
          <w:szCs w:val="28"/>
        </w:rPr>
        <w:lastRenderedPageBreak/>
        <w:br/>
        <w:t xml:space="preserve"> El modelo agroexportador obedece a la lógica imperante de la época que ubicaba países centrales </w:t>
      </w:r>
      <w:hyperlink r:id="rId11" w:history="1">
        <w:r w:rsidRPr="00FC53B8">
          <w:rPr>
            <w:rFonts w:asciiTheme="minorHAnsi" w:eastAsia="Times New Roman" w:hAnsiTheme="minorHAnsi" w:cs="Tahoma"/>
            <w:sz w:val="28"/>
            <w:szCs w:val="28"/>
          </w:rPr>
          <w:t>consumidores</w:t>
        </w:r>
      </w:hyperlink>
      <w:r w:rsidRPr="00FC53B8">
        <w:rPr>
          <w:rFonts w:asciiTheme="minorHAnsi" w:eastAsia="Times New Roman" w:hAnsiTheme="minorHAnsi" w:cs="Tahoma"/>
          <w:sz w:val="28"/>
          <w:szCs w:val="28"/>
        </w:rPr>
        <w:t> y países periféricos productores, por lo que el modelo exportador </w:t>
      </w:r>
      <w:r w:rsidRPr="00FC53B8">
        <w:rPr>
          <w:rFonts w:asciiTheme="minorHAnsi" w:eastAsia="Times New Roman" w:hAnsiTheme="minorHAnsi" w:cs="Tahoma"/>
          <w:bCs/>
          <w:sz w:val="28"/>
          <w:szCs w:val="28"/>
        </w:rPr>
        <w:t>asumía el rol de proveerle a la metrópoli de los alimentos que necesita</w:t>
      </w:r>
      <w:r w:rsidRPr="00FC53B8">
        <w:rPr>
          <w:rFonts w:asciiTheme="minorHAnsi" w:eastAsia="Times New Roman" w:hAnsiTheme="minorHAnsi" w:cs="Tahoma"/>
          <w:sz w:val="28"/>
          <w:szCs w:val="28"/>
        </w:rPr>
        <w:t>, en un rol similar al que ocupaba la américa hispana durante la colonia.</w:t>
      </w:r>
    </w:p>
    <w:p w:rsidR="00FC53B8" w:rsidRPr="00FC53B8" w:rsidRDefault="00FC53B8" w:rsidP="00FC53B8">
      <w:pPr>
        <w:spacing w:before="100" w:beforeAutospacing="1" w:after="100" w:afterAutospacing="1" w:line="360" w:lineRule="auto"/>
        <w:jc w:val="both"/>
        <w:rPr>
          <w:rFonts w:eastAsia="Times New Roman" w:cs="Tahoma"/>
          <w:sz w:val="28"/>
          <w:szCs w:val="28"/>
        </w:rPr>
      </w:pPr>
      <w:r w:rsidRPr="00FC53B8">
        <w:rPr>
          <w:rFonts w:eastAsia="Times New Roman" w:cs="Tahoma"/>
          <w:sz w:val="28"/>
          <w:szCs w:val="28"/>
        </w:rPr>
        <w:t>Es la época del fin del </w:t>
      </w:r>
      <w:hyperlink r:id="rId12" w:history="1">
        <w:r w:rsidRPr="00FC53B8">
          <w:rPr>
            <w:rFonts w:eastAsia="Times New Roman" w:cs="Tahoma"/>
            <w:sz w:val="28"/>
            <w:szCs w:val="28"/>
          </w:rPr>
          <w:t>colonialismo</w:t>
        </w:r>
      </w:hyperlink>
      <w:r w:rsidRPr="00FC53B8">
        <w:rPr>
          <w:rFonts w:eastAsia="Times New Roman" w:cs="Tahoma"/>
          <w:sz w:val="28"/>
          <w:szCs w:val="28"/>
        </w:rPr>
        <w:t> europeo y los capitales internacionales </w:t>
      </w:r>
      <w:r w:rsidRPr="00FC53B8">
        <w:rPr>
          <w:rFonts w:eastAsia="Times New Roman" w:cs="Tahoma"/>
          <w:bCs/>
          <w:sz w:val="28"/>
          <w:szCs w:val="28"/>
        </w:rPr>
        <w:t>persiguen su incorporación en los mercados insurgentes como el americano</w:t>
      </w:r>
      <w:r w:rsidRPr="00FC53B8">
        <w:rPr>
          <w:rFonts w:eastAsia="Times New Roman" w:cs="Tahoma"/>
          <w:sz w:val="28"/>
          <w:szCs w:val="28"/>
        </w:rPr>
        <w:t>, que se muestra gustoso de consumir sus productos elaborados y sentirse en condición de igualdad de consumo.</w:t>
      </w:r>
    </w:p>
    <w:p w:rsidR="00FC53B8" w:rsidRPr="00FC53B8" w:rsidRDefault="00FC53B8" w:rsidP="00FC53B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val="en-US"/>
        </w:rPr>
      </w:pPr>
      <w:r w:rsidRPr="00FC53B8">
        <w:rPr>
          <w:rFonts w:ascii="Tahoma" w:eastAsia="Times New Roman" w:hAnsi="Tahoma" w:cs="Tahoma"/>
          <w:sz w:val="24"/>
          <w:szCs w:val="24"/>
        </w:rPr>
        <w:br/>
      </w:r>
      <w:r w:rsidRPr="00FC53B8">
        <w:rPr>
          <w:rFonts w:ascii="Tahoma" w:eastAsia="Times New Roman" w:hAnsi="Tahoma" w:cs="Tahoma"/>
          <w:sz w:val="24"/>
          <w:szCs w:val="24"/>
        </w:rPr>
        <w:br/>
      </w:r>
      <w:r w:rsidRPr="00FC53B8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</w:p>
    <w:p w:rsidR="00C10900" w:rsidRPr="00FC53B8" w:rsidRDefault="00C10900" w:rsidP="00FC53B8">
      <w:pPr>
        <w:jc w:val="center"/>
        <w:rPr>
          <w:lang w:val="en-US"/>
        </w:rPr>
      </w:pPr>
    </w:p>
    <w:sectPr w:rsidR="00C10900" w:rsidRPr="00FC53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B8"/>
    <w:rsid w:val="00C10900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C53B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C53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3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C53B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C53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53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dades.com/franc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manidades.com/materia-prima/" TargetMode="External"/><Relationship Id="rId12" Type="http://schemas.openxmlformats.org/officeDocument/2006/relationships/hyperlink" Target="https://humanidades.com/colonialism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umanidades.com/argentina/" TargetMode="External"/><Relationship Id="rId11" Type="http://schemas.openxmlformats.org/officeDocument/2006/relationships/hyperlink" Target="https://humanidades.com/consumidor/" TargetMode="External"/><Relationship Id="rId5" Type="http://schemas.openxmlformats.org/officeDocument/2006/relationships/hyperlink" Target="https://humanidades.com/america-latina/" TargetMode="External"/><Relationship Id="rId10" Type="http://schemas.openxmlformats.org/officeDocument/2006/relationships/hyperlink" Target="https://humanidades.com/europ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manidades.com/socieda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2022-10-26T12:18:00Z</dcterms:created>
  <dcterms:modified xsi:type="dcterms:W3CDTF">2022-10-26T12:28:00Z</dcterms:modified>
</cp:coreProperties>
</file>