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D75" w:rsidRDefault="00FB6D75" w:rsidP="00FB6D75">
      <w:pPr>
        <w:spacing w:after="105" w:line="615" w:lineRule="atLeast"/>
        <w:jc w:val="center"/>
        <w:outlineLvl w:val="0"/>
        <w:rPr>
          <w:rFonts w:ascii="Open Sans" w:eastAsia="Times New Roman" w:hAnsi="Open Sans" w:cs="Times New Roman"/>
          <w:b/>
          <w:bCs/>
          <w:color w:val="111111"/>
          <w:kern w:val="36"/>
          <w:sz w:val="50"/>
          <w:szCs w:val="50"/>
        </w:rPr>
      </w:pPr>
      <w:r w:rsidRPr="00FB6D75">
        <w:rPr>
          <w:rFonts w:ascii="Open Sans" w:eastAsia="Times New Roman" w:hAnsi="Open Sans" w:cs="Times New Roman"/>
          <w:b/>
          <w:bCs/>
          <w:color w:val="111111"/>
          <w:kern w:val="36"/>
          <w:sz w:val="50"/>
          <w:szCs w:val="50"/>
        </w:rPr>
        <w:t>La Guerra de la Triple Alianza</w:t>
      </w:r>
    </w:p>
    <w:p w:rsidR="00FB6D75" w:rsidRPr="00FB6D75" w:rsidRDefault="00FB6D75" w:rsidP="00FB6D75">
      <w:pPr>
        <w:spacing w:after="0" w:line="360" w:lineRule="auto"/>
        <w:jc w:val="both"/>
        <w:outlineLvl w:val="0"/>
        <w:rPr>
          <w:color w:val="222222"/>
          <w:sz w:val="24"/>
          <w:szCs w:val="24"/>
          <w:shd w:val="clear" w:color="auto" w:fill="FFFFFF"/>
        </w:rPr>
      </w:pPr>
      <w:r w:rsidRPr="00FB6D75">
        <w:rPr>
          <w:color w:val="222222"/>
          <w:sz w:val="24"/>
          <w:szCs w:val="24"/>
          <w:shd w:val="clear" w:color="auto" w:fill="FFFFFF"/>
        </w:rPr>
        <w:t>La guerra que enfrentó a la Argentina, Brasil y Uruguay contra Paraguay, entre 1865 y 1870, respondió más a los intereses británicos y de acabar con un modelo autónomo de desarrollo como el paraguayo, que podía devenir en un «mal ejemplo» para el resto de América latina, que a los objetivos de unificación nacional y defensa del territorio proclamados por sus promotores. El conflicto que terminó por enfrentar al Paraguay con la Triple Alianza, formada por Argentina, Brasil y Uruguay, tuvo su origen en 1863, cuando el Uruguay fue invadido por un grupo de liberales uruguayos comandados por el general Venancio Flores, quienes derrocaron al gobierno blanco, de tendencia federal y único aliado del Paraguay en la región.</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La invasión había sido preparada en Buenos Aires con el visto bueno del presidente Bartolomé Mitre y el apoyo de la armada brasileña. El Paraguay intervino en defensa del gobierno depuesto y le declaró la guerra al Brasil.</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El gobierno de Mitre se había declarado neutral pero no permitió el paso por Corrientes de las tropas comandadas por el gobernante paraguayo, Francisco Solano López. Esto llevó a López a declarar la guerra también a la Argentina.</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Brasil, la Argentina y el nuevo gobierno uruguayo firmaron en mayo de 1865 el Tratado de la Triple Alianza, en el que se fijaban los objetivos de la guerra y las condiciones de rendición que se le impondrían al Paraguay. Hasta 1865 el gobierno paraguayo, bajo los gobiernos de Carlos Antonio López y su hijo Francisco Solano López, construyó astilleros, fábricas metalúrgicas, ferrocarriles y líneas telegráficas. La mayor parte de las tierras pertenecía al Estado, que ejercía además una especie de monopolio de la comercialización en el exterior de sus dos principales productos: la yerba y el tabaco. El Paraguay era la única nación de América Latina que no tenía deuda externa porque le bastaban sus recursos.</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Decía Alberdi: «Si es verdad que la civilización de este siglo tiene por emblemas las líneas de navegación por vapor, los telégrafos eléctricos, las fundiciones de metales, los astilleros y arsenales, los ferrocarriles, etc., los nuevos misioneros de civilización salidos de Santiago del Estero, Catamarca, La Rioja, San Juan, etc., etc., no sólo no tienen en su hogar esas piezas de civilización para llevar al Paraguay, sino que irían a conocerlas de vista por la primera vez en su vida en el ‘país salvaje’ de su cruzada civilizadora».</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lastRenderedPageBreak/>
        <w:t>La impopularidad de la Guerra de la Triple Alianza, sumada a los tradicionales conflictos generados por la hegemonía porteña, provocó levantamientos en Mendoza, San Juan, La Rioja y San Luis.</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El caudillo catamarqueño Felipe Varela lanzó una proclama llamando a la rebelión y a no participar en una guerra fratricida diciendo: «Ser porteño es ser ciudadano exclusivista y ser provinciano es ser mendigo sin patria, sin libertad, sin derechos. Esta es la política del gobierno de Mitre. Soldados Federales, nuestro programa es la práctica estricta de la Constitución jurada, el orden común, la amistad con el Paraguay y la unión con las demás repúblicas americanas».</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 xml:space="preserve">A pesar de contar con un importante apoyo popular, Varela fue derrotado por las fuerzas nacionales en 1867. Como decía la </w:t>
      </w:r>
      <w:proofErr w:type="spellStart"/>
      <w:r w:rsidRPr="00FB6D75">
        <w:rPr>
          <w:rFonts w:asciiTheme="minorHAnsi" w:hAnsiTheme="minorHAnsi"/>
          <w:color w:val="222222"/>
          <w:lang w:val="es-AR"/>
        </w:rPr>
        <w:t>zamba</w:t>
      </w:r>
      <w:proofErr w:type="spellEnd"/>
      <w:r w:rsidRPr="00FB6D75">
        <w:rPr>
          <w:rFonts w:asciiTheme="minorHAnsi" w:hAnsiTheme="minorHAnsi"/>
          <w:color w:val="222222"/>
          <w:lang w:val="es-AR"/>
        </w:rPr>
        <w:t xml:space="preserve"> de Vargas, nada podían hacer las lanzas contra los modernos fusiles de Buenos Aires.</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La participación argentina en la guerra respondía también al interés del gobierno en imposibilitar una posible alianza entre las provincias litorales y el Paraguay.</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En 1870, durante la presidencia de Sarmiento las tropas aliadas lograron tomar Asunción poniendo fin a la guerra. El Paraguay había quedado destrozado, diezmada su población y arrasado su territorio.</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Mitre había hecho un pronóstico demasiado optimista sobre la guerra: «En veinticuatro horas en los cuarteles, en quince días en campaña, en tres meses en la Asunción».</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Pero lo cierto es que la guerra duró casi cinco años, le costó al país más de 500 millones de pesos y 50.000 muertos. Sin embargo, benefició a comerciantes y ganaderos porteños y entrerrianos cercanos al poder, que hicieron grandes negocios abasteciendo a las tropas aliadas.</w:t>
      </w:r>
    </w:p>
    <w:p w:rsidR="00FB6D75" w:rsidRPr="00FB6D75"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Lo cierto es que Brasil sí pensaba que la victoria daba derechos: saqueó Asunción, instaló un gobierno adicto y se quedó con importantes porciones del territorio paraguayo.</w:t>
      </w:r>
    </w:p>
    <w:p w:rsidR="00C10900" w:rsidRPr="00F52EF4" w:rsidRDefault="00FB6D75" w:rsidP="00FB6D75">
      <w:pPr>
        <w:pStyle w:val="NormalWeb"/>
        <w:shd w:val="clear" w:color="auto" w:fill="FFFFFF"/>
        <w:spacing w:before="0" w:beforeAutospacing="0" w:after="0" w:afterAutospacing="0" w:line="360" w:lineRule="auto"/>
        <w:jc w:val="both"/>
        <w:rPr>
          <w:rFonts w:asciiTheme="minorHAnsi" w:hAnsiTheme="minorHAnsi"/>
          <w:color w:val="222222"/>
          <w:lang w:val="es-AR"/>
        </w:rPr>
      </w:pPr>
      <w:r w:rsidRPr="00FB6D75">
        <w:rPr>
          <w:rFonts w:asciiTheme="minorHAnsi" w:hAnsiTheme="minorHAnsi"/>
          <w:color w:val="222222"/>
          <w:lang w:val="es-AR"/>
        </w:rPr>
        <w:t>El regreso de las tropas trajo a Buenos Aires, en 1871, una terrible epidemia de fiebre amarilla contraída por los soldados en la guerra. La peste dejó un saldo de trece mil muertos e hizo emigrar a las familias oligárquicas hacia el Norte de la ciudad, abandonando sus amplias casonas de la zona Sur. Sus</w:t>
      </w:r>
      <w:r w:rsidRPr="00F52EF4">
        <w:rPr>
          <w:rFonts w:asciiTheme="minorHAnsi" w:hAnsiTheme="minorHAnsi"/>
          <w:color w:val="222222"/>
          <w:lang w:val="es-AR"/>
        </w:rPr>
        <w:t xml:space="preserve"> casas </w:t>
      </w:r>
      <w:r w:rsidRPr="00FB6D75">
        <w:rPr>
          <w:rFonts w:asciiTheme="minorHAnsi" w:hAnsiTheme="minorHAnsi"/>
          <w:color w:val="222222"/>
          <w:lang w:val="es-AR"/>
        </w:rPr>
        <w:t>desocupadas</w:t>
      </w:r>
      <w:r w:rsidRPr="00F52EF4">
        <w:rPr>
          <w:rFonts w:asciiTheme="minorHAnsi" w:hAnsiTheme="minorHAnsi"/>
          <w:color w:val="222222"/>
          <w:lang w:val="es-AR"/>
        </w:rPr>
        <w:t xml:space="preserve"> fueron transformadas en conventillos.</w:t>
      </w:r>
    </w:p>
    <w:p w:rsidR="00F52EF4" w:rsidRPr="00F52EF4" w:rsidRDefault="00F52EF4" w:rsidP="00FB6D75">
      <w:pPr>
        <w:pStyle w:val="NormalWeb"/>
        <w:shd w:val="clear" w:color="auto" w:fill="FFFFFF"/>
        <w:spacing w:before="0" w:beforeAutospacing="0" w:after="0" w:afterAutospacing="0" w:line="360" w:lineRule="auto"/>
        <w:jc w:val="both"/>
        <w:rPr>
          <w:rFonts w:asciiTheme="minorHAnsi" w:hAnsiTheme="minorHAnsi"/>
          <w:b/>
          <w:color w:val="222222"/>
          <w:u w:val="single"/>
          <w:lang w:val="es-AR"/>
        </w:rPr>
      </w:pPr>
      <w:r w:rsidRPr="00F52EF4">
        <w:rPr>
          <w:rFonts w:asciiTheme="minorHAnsi" w:hAnsiTheme="minorHAnsi"/>
          <w:b/>
          <w:color w:val="222222"/>
          <w:u w:val="single"/>
          <w:lang w:val="es-AR"/>
        </w:rPr>
        <w:lastRenderedPageBreak/>
        <w:t>LAS MONTONERAS</w:t>
      </w:r>
    </w:p>
    <w:p w:rsidR="00F52EF4" w:rsidRPr="00F52EF4" w:rsidRDefault="00F52EF4" w:rsidP="00F52EF4">
      <w:pPr>
        <w:shd w:val="clear" w:color="auto" w:fill="FFFFFF"/>
        <w:spacing w:before="120" w:after="120" w:line="240" w:lineRule="auto"/>
        <w:jc w:val="both"/>
        <w:rPr>
          <w:rFonts w:eastAsia="Times New Roman" w:cs="Arial"/>
          <w:sz w:val="24"/>
          <w:szCs w:val="24"/>
        </w:rPr>
      </w:pPr>
      <w:r w:rsidRPr="00F52EF4">
        <w:rPr>
          <w:rFonts w:eastAsia="Times New Roman" w:cs="Arial"/>
          <w:sz w:val="24"/>
          <w:szCs w:val="24"/>
        </w:rPr>
        <w:t>Las montoneras eran unidades relativamente inorgánicas, de extracción rural, y que generalmente operaban en ámbitos rurales. Generalmente se las asocia con el concepto de </w:t>
      </w:r>
      <w:hyperlink r:id="rId5" w:tooltip="Milicia" w:history="1">
        <w:r w:rsidRPr="00F52EF4">
          <w:rPr>
            <w:rFonts w:eastAsia="Times New Roman" w:cs="Arial"/>
            <w:sz w:val="24"/>
            <w:szCs w:val="24"/>
          </w:rPr>
          <w:t>milicias</w:t>
        </w:r>
      </w:hyperlink>
      <w:r w:rsidRPr="00F52EF4">
        <w:rPr>
          <w:rFonts w:eastAsia="Times New Roman" w:cs="Arial"/>
          <w:sz w:val="24"/>
          <w:szCs w:val="24"/>
        </w:rPr>
        <w:t> rurales; la diferencia esencial entre éstas es que se llamaba milicias a las fuerzas que contaban con el apoyo del gobierno provincial, mientras que “montoneras” eran las que se alzaban contra el mismo. Lógicamente, cuando una montonera lograba cambiar una situación provincial, pasaban automáticamente a ser consideradas “milicias rurales”. De igual manera, muchas milicias rurales pasaron a ser montoneras cuando perdieron el apoyo del gobierno provincial.</w:t>
      </w:r>
      <w:hyperlink r:id="rId6" w:anchor="cite_note-6" w:history="1">
        <w:r w:rsidRPr="00F52EF4">
          <w:rPr>
            <w:rFonts w:eastAsia="Times New Roman" w:cs="Arial"/>
            <w:sz w:val="24"/>
            <w:szCs w:val="24"/>
            <w:vertAlign w:val="superscript"/>
          </w:rPr>
          <w:t>6</w:t>
        </w:r>
      </w:hyperlink>
      <w:r w:rsidRPr="00F52EF4">
        <w:rPr>
          <w:rFonts w:eastAsia="Times New Roman" w:cs="Arial"/>
          <w:sz w:val="24"/>
          <w:szCs w:val="24"/>
        </w:rPr>
        <w:t>​</w:t>
      </w:r>
    </w:p>
    <w:p w:rsidR="00F52EF4" w:rsidRPr="00F52EF4" w:rsidRDefault="00F52EF4" w:rsidP="00F52EF4">
      <w:pPr>
        <w:shd w:val="clear" w:color="auto" w:fill="FFFFFF"/>
        <w:spacing w:before="120" w:after="120" w:line="240" w:lineRule="auto"/>
        <w:jc w:val="both"/>
        <w:rPr>
          <w:rFonts w:eastAsia="Times New Roman" w:cs="Arial"/>
          <w:sz w:val="24"/>
          <w:szCs w:val="24"/>
        </w:rPr>
      </w:pPr>
      <w:r w:rsidRPr="00F52EF4">
        <w:rPr>
          <w:rFonts w:eastAsia="Times New Roman" w:cs="Arial"/>
          <w:sz w:val="24"/>
          <w:szCs w:val="24"/>
        </w:rPr>
        <w:t>Las provincias con capitales más populosas, sobre todo </w:t>
      </w:r>
      <w:hyperlink r:id="rId7" w:tooltip="Provincia de Buenos Aires" w:history="1">
        <w:r w:rsidRPr="00F52EF4">
          <w:rPr>
            <w:rFonts w:eastAsia="Times New Roman" w:cs="Arial"/>
            <w:sz w:val="24"/>
            <w:szCs w:val="24"/>
          </w:rPr>
          <w:t>Buenos Aires</w:t>
        </w:r>
      </w:hyperlink>
      <w:r w:rsidRPr="00F52EF4">
        <w:rPr>
          <w:rFonts w:eastAsia="Times New Roman" w:cs="Arial"/>
          <w:sz w:val="24"/>
          <w:szCs w:val="24"/>
        </w:rPr>
        <w:t> y, en menor medida, </w:t>
      </w:r>
      <w:hyperlink r:id="rId8" w:tooltip="Provincia de Córdoba (Argentina)" w:history="1">
        <w:r w:rsidRPr="00F52EF4">
          <w:rPr>
            <w:rFonts w:eastAsia="Times New Roman" w:cs="Arial"/>
            <w:sz w:val="24"/>
            <w:szCs w:val="24"/>
          </w:rPr>
          <w:t>Córdoba</w:t>
        </w:r>
      </w:hyperlink>
      <w:r w:rsidRPr="00F52EF4">
        <w:rPr>
          <w:rFonts w:eastAsia="Times New Roman" w:cs="Arial"/>
          <w:sz w:val="24"/>
          <w:szCs w:val="24"/>
        </w:rPr>
        <w:t xml:space="preserve">, contaban además con importantes fuerzas de milicias urbanas, que servían </w:t>
      </w:r>
      <w:bookmarkStart w:id="0" w:name="_GoBack"/>
      <w:bookmarkEnd w:id="0"/>
      <w:r w:rsidRPr="00F52EF4">
        <w:rPr>
          <w:rFonts w:eastAsia="Times New Roman" w:cs="Arial"/>
          <w:sz w:val="24"/>
          <w:szCs w:val="24"/>
        </w:rPr>
        <w:t>únicamente para defender las ciudades.</w:t>
      </w:r>
    </w:p>
    <w:p w:rsidR="00F52EF4" w:rsidRPr="00F52EF4" w:rsidRDefault="00F52EF4" w:rsidP="00F52EF4">
      <w:pPr>
        <w:shd w:val="clear" w:color="auto" w:fill="FFFFFF"/>
        <w:spacing w:before="120" w:after="120" w:line="240" w:lineRule="auto"/>
        <w:jc w:val="both"/>
        <w:rPr>
          <w:rFonts w:eastAsia="Times New Roman" w:cs="Arial"/>
          <w:sz w:val="24"/>
          <w:szCs w:val="24"/>
        </w:rPr>
      </w:pPr>
      <w:r w:rsidRPr="00F52EF4">
        <w:rPr>
          <w:rFonts w:eastAsia="Times New Roman" w:cs="Arial"/>
          <w:sz w:val="24"/>
          <w:szCs w:val="24"/>
        </w:rPr>
        <w:t>Su grado de organización dependía fuertemente de las circunstancias. Por ejemplo, las montoneras organizadas por </w:t>
      </w:r>
      <w:hyperlink r:id="rId9" w:tooltip="Blas Basualdo" w:history="1">
        <w:r w:rsidRPr="00F52EF4">
          <w:rPr>
            <w:rFonts w:eastAsia="Times New Roman" w:cs="Arial"/>
            <w:sz w:val="24"/>
            <w:szCs w:val="24"/>
          </w:rPr>
          <w:t xml:space="preserve">Blas </w:t>
        </w:r>
        <w:proofErr w:type="spellStart"/>
        <w:r w:rsidRPr="00F52EF4">
          <w:rPr>
            <w:rFonts w:eastAsia="Times New Roman" w:cs="Arial"/>
            <w:sz w:val="24"/>
            <w:szCs w:val="24"/>
          </w:rPr>
          <w:t>Basualdo</w:t>
        </w:r>
        <w:proofErr w:type="spellEnd"/>
      </w:hyperlink>
      <w:r w:rsidRPr="00F52EF4">
        <w:rPr>
          <w:rFonts w:eastAsia="Times New Roman" w:cs="Arial"/>
          <w:sz w:val="24"/>
          <w:szCs w:val="24"/>
        </w:rPr>
        <w:t> en la </w:t>
      </w:r>
      <w:hyperlink r:id="rId10" w:tooltip="Provincia de Entre Ríos" w:history="1">
        <w:r w:rsidRPr="00F52EF4">
          <w:rPr>
            <w:rFonts w:eastAsia="Times New Roman" w:cs="Arial"/>
            <w:sz w:val="24"/>
            <w:szCs w:val="24"/>
          </w:rPr>
          <w:t>provincia de Entre Ríos</w:t>
        </w:r>
      </w:hyperlink>
      <w:r w:rsidRPr="00F52EF4">
        <w:rPr>
          <w:rFonts w:eastAsia="Times New Roman" w:cs="Arial"/>
          <w:sz w:val="24"/>
          <w:szCs w:val="24"/>
        </w:rPr>
        <w:t> en </w:t>
      </w:r>
      <w:hyperlink r:id="rId11" w:tooltip="1814" w:history="1">
        <w:r w:rsidRPr="00F52EF4">
          <w:rPr>
            <w:rFonts w:eastAsia="Times New Roman" w:cs="Arial"/>
            <w:sz w:val="24"/>
            <w:szCs w:val="24"/>
          </w:rPr>
          <w:t>1814</w:t>
        </w:r>
      </w:hyperlink>
      <w:r w:rsidRPr="00F52EF4">
        <w:rPr>
          <w:rFonts w:eastAsia="Times New Roman" w:cs="Arial"/>
          <w:sz w:val="24"/>
          <w:szCs w:val="24"/>
        </w:rPr>
        <w:t> parecen haber sido amontonamientos de hombres sin disciplina, que lograron algunos éxitos merced solamente a su valor y audacia. Reorganizaron pocos años más tarde por </w:t>
      </w:r>
      <w:hyperlink r:id="rId12" w:tooltip="Francisco Ramírez" w:history="1">
        <w:r w:rsidRPr="00F52EF4">
          <w:rPr>
            <w:rFonts w:eastAsia="Times New Roman" w:cs="Arial"/>
            <w:sz w:val="24"/>
            <w:szCs w:val="24"/>
          </w:rPr>
          <w:t>Francisco Ramírez</w:t>
        </w:r>
      </w:hyperlink>
      <w:r w:rsidRPr="00F52EF4">
        <w:rPr>
          <w:rFonts w:eastAsia="Times New Roman" w:cs="Arial"/>
          <w:sz w:val="24"/>
          <w:szCs w:val="24"/>
        </w:rPr>
        <w:t>, llegaron a disponer de una disciplina, organización y mando notables, que les permitieron vencer repetidamente a fuerzas muy superiores en número, de tropas "de línea".</w:t>
      </w:r>
      <w:hyperlink r:id="rId13" w:anchor="cite_note-7" w:history="1">
        <w:r w:rsidRPr="00F52EF4">
          <w:rPr>
            <w:rFonts w:eastAsia="Times New Roman" w:cs="Arial"/>
            <w:sz w:val="24"/>
            <w:szCs w:val="24"/>
            <w:vertAlign w:val="superscript"/>
          </w:rPr>
          <w:t>7</w:t>
        </w:r>
      </w:hyperlink>
      <w:r w:rsidRPr="00F52EF4">
        <w:rPr>
          <w:rFonts w:eastAsia="Times New Roman" w:cs="Arial"/>
          <w:sz w:val="24"/>
          <w:szCs w:val="24"/>
        </w:rPr>
        <w:t>​</w:t>
      </w:r>
    </w:p>
    <w:p w:rsidR="00F52EF4" w:rsidRPr="00F52EF4" w:rsidRDefault="00F52EF4" w:rsidP="00F52EF4">
      <w:pPr>
        <w:shd w:val="clear" w:color="auto" w:fill="FFFFFF"/>
        <w:spacing w:before="120" w:after="120" w:line="240" w:lineRule="auto"/>
        <w:jc w:val="both"/>
        <w:rPr>
          <w:rFonts w:eastAsia="Times New Roman" w:cs="Arial"/>
          <w:sz w:val="24"/>
          <w:szCs w:val="24"/>
        </w:rPr>
      </w:pPr>
      <w:r w:rsidRPr="00F52EF4">
        <w:rPr>
          <w:rFonts w:eastAsia="Times New Roman" w:cs="Arial"/>
          <w:sz w:val="24"/>
          <w:szCs w:val="24"/>
        </w:rPr>
        <w:t>Sus tácticas de combate eran rudimentarias, pero se adaptaban a las condiciones predominantes en el campo abierto en la Argentina. En efecto, generalmente debían recorrer grandes distancias sin población alguna entre pueblos y ciudades, y combatir en lugares elegidos por características geográficas naturales, eligiendo sitios en donde la cercanía de cursos de agua o montes de árboles les podía dar alguna ventaja. No obstante, tratándose de tropas casi exclusivamente de caballería, preferían espacios abiertos.</w:t>
      </w:r>
    </w:p>
    <w:p w:rsidR="00F52EF4" w:rsidRPr="00F52EF4" w:rsidRDefault="00F52EF4" w:rsidP="00F52EF4">
      <w:pPr>
        <w:shd w:val="clear" w:color="auto" w:fill="FFFFFF"/>
        <w:spacing w:before="120" w:after="120" w:line="240" w:lineRule="auto"/>
        <w:jc w:val="both"/>
        <w:rPr>
          <w:rFonts w:eastAsia="Times New Roman" w:cs="Arial"/>
          <w:sz w:val="24"/>
          <w:szCs w:val="24"/>
        </w:rPr>
      </w:pPr>
      <w:r w:rsidRPr="00F52EF4">
        <w:rPr>
          <w:rFonts w:eastAsia="Times New Roman" w:cs="Arial"/>
          <w:sz w:val="24"/>
          <w:szCs w:val="24"/>
        </w:rPr>
        <w:t>Generalmente, las tropas ansiaban entrar en contacto con el enemigo y combatir cuerpo a cuerpo. Sus jefes, en cambio, preferían llevar adelante una estrategia de guerrillas, con la que desgastaban a las tropas regulares y les dificultaban sus maniobras, además de derrotar a cualquier grupo que se alejara del grueso del ejército enemigo. Se suele citar al caudillo de la </w:t>
      </w:r>
      <w:hyperlink r:id="rId14" w:tooltip="Provincia de Santa Fe" w:history="1">
        <w:r w:rsidRPr="00F52EF4">
          <w:rPr>
            <w:rFonts w:eastAsia="Times New Roman" w:cs="Arial"/>
            <w:sz w:val="24"/>
            <w:szCs w:val="24"/>
          </w:rPr>
          <w:t>provincia de Santa Fe</w:t>
        </w:r>
      </w:hyperlink>
      <w:r w:rsidRPr="00F52EF4">
        <w:rPr>
          <w:rFonts w:eastAsia="Times New Roman" w:cs="Arial"/>
          <w:sz w:val="24"/>
          <w:szCs w:val="24"/>
        </w:rPr>
        <w:t>, </w:t>
      </w:r>
      <w:hyperlink r:id="rId15" w:tooltip="Estanislao López" w:history="1">
        <w:r w:rsidRPr="00F52EF4">
          <w:rPr>
            <w:rFonts w:eastAsia="Times New Roman" w:cs="Arial"/>
            <w:sz w:val="24"/>
            <w:szCs w:val="24"/>
          </w:rPr>
          <w:t>Estanislao López</w:t>
        </w:r>
      </w:hyperlink>
      <w:r w:rsidRPr="00F52EF4">
        <w:rPr>
          <w:rFonts w:eastAsia="Times New Roman" w:cs="Arial"/>
          <w:sz w:val="24"/>
          <w:szCs w:val="24"/>
        </w:rPr>
        <w:t>, como el más capaz en el desarrollo de estrategias de desgaste, que de esta manera logró mantener la autonomía de su provincia ante los ejércitos enemigos, venciendo a jefes tan capaces como </w:t>
      </w:r>
      <w:hyperlink r:id="rId16" w:tooltip="Juan Ramón Balcarce" w:history="1">
        <w:r w:rsidRPr="00F52EF4">
          <w:rPr>
            <w:rFonts w:eastAsia="Times New Roman" w:cs="Arial"/>
            <w:sz w:val="24"/>
            <w:szCs w:val="24"/>
          </w:rPr>
          <w:t>Juan Ramón Balcarce</w:t>
        </w:r>
      </w:hyperlink>
      <w:r w:rsidRPr="00F52EF4">
        <w:rPr>
          <w:rFonts w:eastAsia="Times New Roman" w:cs="Arial"/>
          <w:sz w:val="24"/>
          <w:szCs w:val="24"/>
        </w:rPr>
        <w:t>, </w:t>
      </w:r>
      <w:hyperlink r:id="rId17" w:tooltip="Manuel Dorrego" w:history="1">
        <w:r w:rsidRPr="00F52EF4">
          <w:rPr>
            <w:rFonts w:eastAsia="Times New Roman" w:cs="Arial"/>
            <w:sz w:val="24"/>
            <w:szCs w:val="24"/>
          </w:rPr>
          <w:t>Manuel Dorrego</w:t>
        </w:r>
      </w:hyperlink>
      <w:r w:rsidRPr="00F52EF4">
        <w:rPr>
          <w:rFonts w:eastAsia="Times New Roman" w:cs="Arial"/>
          <w:sz w:val="24"/>
          <w:szCs w:val="24"/>
        </w:rPr>
        <w:t>, </w:t>
      </w:r>
      <w:hyperlink r:id="rId18" w:tooltip="Juan Lavalle" w:history="1">
        <w:r w:rsidRPr="00F52EF4">
          <w:rPr>
            <w:rFonts w:eastAsia="Times New Roman" w:cs="Arial"/>
            <w:sz w:val="24"/>
            <w:szCs w:val="24"/>
          </w:rPr>
          <w:t>Juan Lavalle</w:t>
        </w:r>
      </w:hyperlink>
      <w:r w:rsidRPr="00F52EF4">
        <w:rPr>
          <w:rFonts w:eastAsia="Times New Roman" w:cs="Arial"/>
          <w:sz w:val="24"/>
          <w:szCs w:val="24"/>
        </w:rPr>
        <w:t> y </w:t>
      </w:r>
      <w:hyperlink r:id="rId19" w:tooltip="José María Paz" w:history="1">
        <w:r w:rsidRPr="00F52EF4">
          <w:rPr>
            <w:rFonts w:eastAsia="Times New Roman" w:cs="Arial"/>
            <w:sz w:val="24"/>
            <w:szCs w:val="24"/>
          </w:rPr>
          <w:t>José María Paz</w:t>
        </w:r>
      </w:hyperlink>
      <w:r w:rsidRPr="00F52EF4">
        <w:rPr>
          <w:rFonts w:eastAsia="Times New Roman" w:cs="Arial"/>
          <w:sz w:val="24"/>
          <w:szCs w:val="24"/>
        </w:rPr>
        <w:t>. Esta misma estrategia terminó también por darle la victoria sobre su ex aliado Francisco Ramírez, confirmando que, en esas condiciones, la disciplina valía menos que las tácticas apropiadas.</w:t>
      </w:r>
    </w:p>
    <w:p w:rsidR="00F52EF4" w:rsidRPr="00F52EF4" w:rsidRDefault="00F52EF4" w:rsidP="00FB6D75">
      <w:pPr>
        <w:pStyle w:val="NormalWeb"/>
        <w:shd w:val="clear" w:color="auto" w:fill="FFFFFF"/>
        <w:spacing w:before="0" w:beforeAutospacing="0" w:after="0" w:afterAutospacing="0" w:line="360" w:lineRule="auto"/>
        <w:jc w:val="both"/>
        <w:rPr>
          <w:rFonts w:asciiTheme="minorHAnsi" w:hAnsiTheme="minorHAnsi"/>
          <w:b/>
          <w:color w:val="222222"/>
          <w:u w:val="single"/>
          <w:lang w:val="es-AR"/>
        </w:rPr>
      </w:pPr>
    </w:p>
    <w:sectPr w:rsidR="00F52EF4" w:rsidRPr="00F52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75"/>
    <w:rsid w:val="001F1579"/>
    <w:rsid w:val="00C10900"/>
    <w:rsid w:val="00F52EF4"/>
    <w:rsid w:val="00FB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B6D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FB6D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B6D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FB6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840">
      <w:bodyDiv w:val="1"/>
      <w:marLeft w:val="0"/>
      <w:marRight w:val="0"/>
      <w:marTop w:val="0"/>
      <w:marBottom w:val="0"/>
      <w:divBdr>
        <w:top w:val="none" w:sz="0" w:space="0" w:color="auto"/>
        <w:left w:val="none" w:sz="0" w:space="0" w:color="auto"/>
        <w:bottom w:val="none" w:sz="0" w:space="0" w:color="auto"/>
        <w:right w:val="none" w:sz="0" w:space="0" w:color="auto"/>
      </w:divBdr>
    </w:div>
    <w:div w:id="47190077">
      <w:bodyDiv w:val="1"/>
      <w:marLeft w:val="0"/>
      <w:marRight w:val="0"/>
      <w:marTop w:val="0"/>
      <w:marBottom w:val="0"/>
      <w:divBdr>
        <w:top w:val="none" w:sz="0" w:space="0" w:color="auto"/>
        <w:left w:val="none" w:sz="0" w:space="0" w:color="auto"/>
        <w:bottom w:val="none" w:sz="0" w:space="0" w:color="auto"/>
        <w:right w:val="none" w:sz="0" w:space="0" w:color="auto"/>
      </w:divBdr>
    </w:div>
    <w:div w:id="110829528">
      <w:bodyDiv w:val="1"/>
      <w:marLeft w:val="0"/>
      <w:marRight w:val="0"/>
      <w:marTop w:val="0"/>
      <w:marBottom w:val="0"/>
      <w:divBdr>
        <w:top w:val="none" w:sz="0" w:space="0" w:color="auto"/>
        <w:left w:val="none" w:sz="0" w:space="0" w:color="auto"/>
        <w:bottom w:val="none" w:sz="0" w:space="0" w:color="auto"/>
        <w:right w:val="none" w:sz="0" w:space="0" w:color="auto"/>
      </w:divBdr>
    </w:div>
    <w:div w:id="632979272">
      <w:bodyDiv w:val="1"/>
      <w:marLeft w:val="0"/>
      <w:marRight w:val="0"/>
      <w:marTop w:val="0"/>
      <w:marBottom w:val="0"/>
      <w:divBdr>
        <w:top w:val="none" w:sz="0" w:space="0" w:color="auto"/>
        <w:left w:val="none" w:sz="0" w:space="0" w:color="auto"/>
        <w:bottom w:val="none" w:sz="0" w:space="0" w:color="auto"/>
        <w:right w:val="none" w:sz="0" w:space="0" w:color="auto"/>
      </w:divBdr>
    </w:div>
    <w:div w:id="1003751016">
      <w:bodyDiv w:val="1"/>
      <w:marLeft w:val="0"/>
      <w:marRight w:val="0"/>
      <w:marTop w:val="0"/>
      <w:marBottom w:val="0"/>
      <w:divBdr>
        <w:top w:val="none" w:sz="0" w:space="0" w:color="auto"/>
        <w:left w:val="none" w:sz="0" w:space="0" w:color="auto"/>
        <w:bottom w:val="none" w:sz="0" w:space="0" w:color="auto"/>
        <w:right w:val="none" w:sz="0" w:space="0" w:color="auto"/>
      </w:divBdr>
    </w:div>
    <w:div w:id="1792555926">
      <w:bodyDiv w:val="1"/>
      <w:marLeft w:val="0"/>
      <w:marRight w:val="0"/>
      <w:marTop w:val="0"/>
      <w:marBottom w:val="0"/>
      <w:divBdr>
        <w:top w:val="none" w:sz="0" w:space="0" w:color="auto"/>
        <w:left w:val="none" w:sz="0" w:space="0" w:color="auto"/>
        <w:bottom w:val="none" w:sz="0" w:space="0" w:color="auto"/>
        <w:right w:val="none" w:sz="0" w:space="0" w:color="auto"/>
      </w:divBdr>
    </w:div>
    <w:div w:id="2048797893">
      <w:bodyDiv w:val="1"/>
      <w:marLeft w:val="0"/>
      <w:marRight w:val="0"/>
      <w:marTop w:val="0"/>
      <w:marBottom w:val="0"/>
      <w:divBdr>
        <w:top w:val="none" w:sz="0" w:space="0" w:color="auto"/>
        <w:left w:val="none" w:sz="0" w:space="0" w:color="auto"/>
        <w:bottom w:val="none" w:sz="0" w:space="0" w:color="auto"/>
        <w:right w:val="none" w:sz="0" w:space="0" w:color="auto"/>
      </w:divBdr>
      <w:divsChild>
        <w:div w:id="214658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rovincia_de_C%C3%B3rdoba_(Argentina)" TargetMode="External"/><Relationship Id="rId13" Type="http://schemas.openxmlformats.org/officeDocument/2006/relationships/hyperlink" Target="https://es.wikipedia.org/wiki/Montonera" TargetMode="External"/><Relationship Id="rId18" Type="http://schemas.openxmlformats.org/officeDocument/2006/relationships/hyperlink" Target="https://es.wikipedia.org/wiki/Juan_Laval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wikipedia.org/wiki/Provincia_de_Buenos_Aires" TargetMode="External"/><Relationship Id="rId12" Type="http://schemas.openxmlformats.org/officeDocument/2006/relationships/hyperlink" Target="https://es.wikipedia.org/wiki/Francisco_Ram%C3%ADrez" TargetMode="External"/><Relationship Id="rId17" Type="http://schemas.openxmlformats.org/officeDocument/2006/relationships/hyperlink" Target="https://es.wikipedia.org/wiki/Manuel_Dorrego" TargetMode="External"/><Relationship Id="rId2" Type="http://schemas.microsoft.com/office/2007/relationships/stylesWithEffects" Target="stylesWithEffects.xml"/><Relationship Id="rId16" Type="http://schemas.openxmlformats.org/officeDocument/2006/relationships/hyperlink" Target="https://es.wikipedia.org/wiki/Juan_Ram%C3%B3n_Balcarc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wikipedia.org/wiki/Montonera" TargetMode="External"/><Relationship Id="rId11" Type="http://schemas.openxmlformats.org/officeDocument/2006/relationships/hyperlink" Target="https://es.wikipedia.org/wiki/1814" TargetMode="External"/><Relationship Id="rId5" Type="http://schemas.openxmlformats.org/officeDocument/2006/relationships/hyperlink" Target="https://es.wikipedia.org/wiki/Milicia" TargetMode="External"/><Relationship Id="rId15" Type="http://schemas.openxmlformats.org/officeDocument/2006/relationships/hyperlink" Target="https://es.wikipedia.org/wiki/Estanislao_L%C3%B3pez" TargetMode="External"/><Relationship Id="rId10" Type="http://schemas.openxmlformats.org/officeDocument/2006/relationships/hyperlink" Target="https://es.wikipedia.org/wiki/Provincia_de_Entre_R%C3%ADos" TargetMode="External"/><Relationship Id="rId19" Type="http://schemas.openxmlformats.org/officeDocument/2006/relationships/hyperlink" Target="https://es.wikipedia.org/wiki/Jos%C3%A9_Mar%C3%ADa_Paz" TargetMode="External"/><Relationship Id="rId4" Type="http://schemas.openxmlformats.org/officeDocument/2006/relationships/webSettings" Target="webSettings.xml"/><Relationship Id="rId9" Type="http://schemas.openxmlformats.org/officeDocument/2006/relationships/hyperlink" Target="https://es.wikipedia.org/wiki/Blas_Basualdo" TargetMode="External"/><Relationship Id="rId14" Type="http://schemas.openxmlformats.org/officeDocument/2006/relationships/hyperlink" Target="https://es.wikipedia.org/wiki/Provincia_de_Santa_F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2</cp:revision>
  <dcterms:created xsi:type="dcterms:W3CDTF">2022-10-25T13:51:00Z</dcterms:created>
  <dcterms:modified xsi:type="dcterms:W3CDTF">2022-10-25T13:51:00Z</dcterms:modified>
</cp:coreProperties>
</file>