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968" w:rsidRPr="00551B76" w:rsidRDefault="00590968" w:rsidP="00590968">
      <w:pPr>
        <w:shd w:val="clear" w:color="auto" w:fill="FFFFFF"/>
        <w:spacing w:after="0" w:line="240" w:lineRule="auto"/>
        <w:ind w:firstLine="225"/>
        <w:rPr>
          <w:rFonts w:asciiTheme="minorHAnsi" w:eastAsia="Times New Roman" w:hAnsiTheme="minorHAnsi" w:cstheme="minorHAnsi"/>
          <w:color w:val="0070C0"/>
          <w:sz w:val="24"/>
          <w:szCs w:val="24"/>
          <w:u w:val="single"/>
          <w:lang w:eastAsia="es-AR"/>
        </w:rPr>
      </w:pPr>
      <w:bookmarkStart w:id="0" w:name="La_verdadera_historia_del_niño_salvaje_d"/>
      <w:r w:rsidRPr="00551B76">
        <w:rPr>
          <w:rFonts w:asciiTheme="minorHAnsi" w:eastAsia="Times New Roman" w:hAnsiTheme="minorHAnsi" w:cstheme="minorHAnsi"/>
          <w:b/>
          <w:bCs/>
          <w:color w:val="0070C0"/>
          <w:sz w:val="24"/>
          <w:szCs w:val="24"/>
          <w:u w:val="single"/>
          <w:lang w:val="es-ES_tradnl" w:eastAsia="es-AR"/>
        </w:rPr>
        <w:t xml:space="preserve">La historia de Víctor, el niño salvaje de </w:t>
      </w:r>
      <w:bookmarkEnd w:id="0"/>
      <w:r w:rsidRPr="00551B76">
        <w:rPr>
          <w:rFonts w:asciiTheme="minorHAnsi" w:eastAsia="Times New Roman" w:hAnsiTheme="minorHAnsi" w:cstheme="minorHAnsi"/>
          <w:b/>
          <w:bCs/>
          <w:color w:val="0070C0"/>
          <w:sz w:val="24"/>
          <w:szCs w:val="24"/>
          <w:u w:val="single"/>
          <w:lang w:val="es-ES_tradnl" w:eastAsia="es-AR"/>
        </w:rPr>
        <w:t>Aveyron</w:t>
      </w:r>
      <w:r w:rsidRPr="00551B76">
        <w:rPr>
          <w:rFonts w:asciiTheme="minorHAnsi" w:eastAsia="Times New Roman" w:hAnsiTheme="minorHAnsi" w:cstheme="minorHAnsi"/>
          <w:b/>
          <w:bCs/>
          <w:color w:val="0070C0"/>
          <w:sz w:val="24"/>
          <w:szCs w:val="24"/>
          <w:u w:val="single"/>
          <w:lang w:eastAsia="es-AR"/>
        </w:rPr>
        <w:t> </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Pr>
          <w:rFonts w:asciiTheme="minorHAnsi" w:eastAsia="Times New Roman" w:hAnsiTheme="minorHAnsi" w:cstheme="minorHAnsi"/>
          <w:color w:val="0070C0"/>
          <w:sz w:val="24"/>
          <w:szCs w:val="24"/>
          <w:lang w:eastAsia="es-AR"/>
        </w:rPr>
        <w:t>El 18 de e</w:t>
      </w:r>
      <w:r w:rsidRPr="00551B76">
        <w:rPr>
          <w:rFonts w:asciiTheme="minorHAnsi" w:eastAsia="Times New Roman" w:hAnsiTheme="minorHAnsi" w:cstheme="minorHAnsi"/>
          <w:color w:val="0070C0"/>
          <w:sz w:val="24"/>
          <w:szCs w:val="24"/>
          <w:lang w:eastAsia="es-AR"/>
        </w:rPr>
        <w:t>nero de 1800, un niño desnudo, con la cara y las manos llenas de cicatrices, apareció en las afueras de Saint-Sernin en la escasamente poblada provincia de Aveyron, en la parte sur central de Francia. El chico, que sólo medía 1.35 metros aproximadamente, pero aparentaba tener 12 años, había sido visto varias veces durante los dos años y medio anteriores, trepando los árboles, corriendo en cuatro pies, bebiendo en los arroyos y buscando afanosamente bellotas y raíces. Había sido capturado dos veces, pero había escapado. Entonces, en el inusualmente frío invierno de 1799-1800, comenzó a aparecer en las granjas en busca de alimento.</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sidRPr="00551B76">
        <w:rPr>
          <w:rFonts w:asciiTheme="minorHAnsi" w:eastAsia="Times New Roman" w:hAnsiTheme="minorHAnsi" w:cstheme="minorHAnsi"/>
          <w:color w:val="0070C0"/>
          <w:sz w:val="24"/>
          <w:szCs w:val="24"/>
          <w:lang w:eastAsia="es-AR"/>
        </w:rPr>
        <w:t>Cuando el muchacho de ojos oscuros llegó a Saint-Sernin, no habló ni respondió para hacerse entender, pero reaccionaba de inmediato ante el sonido de las ramas al quebrarse o ante el ladrido de los perros. Rechazaba los alimentos cocidos, prefería las papas crudas que lanzaba al fuego y recuperaba rápidamente con sus manos desnudas, devorándolas cuando todavía quemaban. Como un animal acostumbrado a vivir en la selva, el chico parecía insensible al frío y al calor extremo, y rasgaba la ropa que la gente trataba de ponerle. Parecía evidente que había perdido a sus padres desde muy pequeño o lo habían abandonado, pero de esto hacía tanto tiempo que era imposible saberlo. Durante un tiempo, el muchacho apareció como un fenómeno intelectual y social.</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sidRPr="00551B76">
        <w:rPr>
          <w:rFonts w:asciiTheme="minorHAnsi" w:eastAsia="Times New Roman" w:hAnsiTheme="minorHAnsi" w:cstheme="minorHAnsi"/>
          <w:color w:val="0070C0"/>
          <w:sz w:val="24"/>
          <w:szCs w:val="24"/>
          <w:lang w:eastAsia="es-AR"/>
        </w:rPr>
        <w:t>Los filósofos debatían sobre cuestiones como la naturaleza esencial de los seres humanos, preguntas que durante los dos siglos siguientes se convirtieron en fundamento del estudio del desarrollo del niño. ¿Son innatas o adquiridas las cualidades, el comportamiento y las ideas que definen a los seres humanos? ¿Cuál es el efecto del contacto social durante los años de formación, y se puede superar su carencia? Un estudio cuidadosamente documentado de un niño que había crecido en aislamiento podría proporcionar evidencia del impacto relativo de la “naturaleza” (las características innatas de un niño) y la “crianza” (educación familiar, escolar y otros factores de influencia social).</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sidRPr="00551B76">
        <w:rPr>
          <w:rFonts w:asciiTheme="minorHAnsi" w:eastAsia="Times New Roman" w:hAnsiTheme="minorHAnsi" w:cstheme="minorHAnsi"/>
          <w:color w:val="0070C0"/>
          <w:sz w:val="24"/>
          <w:szCs w:val="24"/>
          <w:lang w:eastAsia="es-AR"/>
        </w:rPr>
        <w:t>Después de la observación inicial, el muchacho, a quien se le llamo Víctor, fue enviado a una escuela para niños sordomudos en París. Allí, quedó a cargo de Jean-Marc-Gaspard Itard, un médico de 26 años, interesado en la naciente ciencia de la “medicina mental” o psiquiatría. El muchacho era, escribió Itard, “un niño desagradablemente sucio... que mordía y rasguñaba a quienes se le acercaban, que no demostraba ningún afecto por quienes lo cuidaban, y quien era, en síntesis, indiferente a todo o atento a nada”.</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sidRPr="00551B76">
        <w:rPr>
          <w:rFonts w:asciiTheme="minorHAnsi" w:eastAsia="Times New Roman" w:hAnsiTheme="minorHAnsi" w:cstheme="minorHAnsi"/>
          <w:color w:val="0070C0"/>
          <w:sz w:val="24"/>
          <w:szCs w:val="24"/>
          <w:lang w:eastAsia="es-AR"/>
        </w:rPr>
        <w:t>Algunos observadores concluyeron que era un “idiota”, incapaz de aprender. Pero, Itard creyó que el desarrollo de Víctor se había limitado por el aislamiento y que tan sólo necesitaba que se le enseñaran las destrezas que los niños en la sociedad civilizada normalmente adquirían a través de la vida diaria. Itard llevó a Víctor a su casa y durante los siguientes cinco años, gradualmente lo “domesticó”. Itard despertó primero la habilidad de su propio pupilo para discriminar la experiencia a través de un entrenamiento esmerado y paulatino a las respuestas emocionales, así como a la instrucción en moral, comportamiento social, lenguaje y pensamiento.</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sidRPr="00551B76">
        <w:rPr>
          <w:rFonts w:asciiTheme="minorHAnsi" w:eastAsia="Times New Roman" w:hAnsiTheme="minorHAnsi" w:cstheme="minorHAnsi"/>
          <w:color w:val="0070C0"/>
          <w:sz w:val="24"/>
          <w:szCs w:val="24"/>
          <w:lang w:eastAsia="es-AR"/>
        </w:rPr>
        <w:t>Los métodos que Itard utilizó, con base a los principios de imitación, condicionamiento y modificación del comportamiento, los cuales lo posicionaron a la vanguardia de su época y lo llevaron a inventar muchos mecanismos de enseñanza que aún se utilizan. De hecho, Itard mejoró las técnicas</w:t>
      </w:r>
      <w:r w:rsidRPr="002A77BE">
        <w:rPr>
          <w:rFonts w:ascii="Garamond" w:eastAsia="Times New Roman" w:hAnsi="Garamond"/>
          <w:color w:val="0070C0"/>
          <w:sz w:val="27"/>
          <w:szCs w:val="27"/>
          <w:lang w:eastAsia="es-AR"/>
        </w:rPr>
        <w:t xml:space="preserve"> </w:t>
      </w:r>
      <w:r w:rsidRPr="00551B76">
        <w:rPr>
          <w:rFonts w:asciiTheme="minorHAnsi" w:eastAsia="Times New Roman" w:hAnsiTheme="minorHAnsi" w:cstheme="minorHAnsi"/>
          <w:color w:val="0070C0"/>
          <w:sz w:val="24"/>
          <w:szCs w:val="24"/>
          <w:lang w:eastAsia="es-AR"/>
        </w:rPr>
        <w:t>que había usado con Víctor, convirtiéndose en un pionero de la educación especial. El chico logró un progreso notorio: aprendió los nombres de muchos objetos y pudo leer y escribir frases simples, expresar deseos, seguir órdenes e intercambiar ideas. Demostró afecto, especialmente hacia el ama de casa de Itard, la señora Guérin, al igual que emociones de orgullo, vergüenza, remordimiento y deseo de complacer</w:t>
      </w:r>
      <w:r>
        <w:rPr>
          <w:rFonts w:asciiTheme="minorHAnsi" w:eastAsia="Times New Roman" w:hAnsiTheme="minorHAnsi" w:cstheme="minorHAnsi"/>
          <w:color w:val="0070C0"/>
          <w:sz w:val="24"/>
          <w:szCs w:val="24"/>
          <w:lang w:eastAsia="es-AR"/>
        </w:rPr>
        <w:t>.</w:t>
      </w:r>
    </w:p>
    <w:p w:rsidR="00590968" w:rsidRPr="00551B76" w:rsidRDefault="00590968" w:rsidP="00590968">
      <w:pPr>
        <w:shd w:val="clear" w:color="auto" w:fill="FFFFFF"/>
        <w:spacing w:after="0" w:line="240" w:lineRule="auto"/>
        <w:ind w:firstLine="225"/>
        <w:jc w:val="both"/>
        <w:rPr>
          <w:rFonts w:asciiTheme="minorHAnsi" w:eastAsia="Times New Roman" w:hAnsiTheme="minorHAnsi" w:cstheme="minorHAnsi"/>
          <w:color w:val="0070C0"/>
          <w:sz w:val="24"/>
          <w:szCs w:val="24"/>
          <w:lang w:eastAsia="es-AR"/>
        </w:rPr>
      </w:pPr>
      <w:r w:rsidRPr="00551B76">
        <w:rPr>
          <w:rFonts w:asciiTheme="minorHAnsi" w:eastAsia="Times New Roman" w:hAnsiTheme="minorHAnsi" w:cstheme="minorHAnsi"/>
          <w:color w:val="0070C0"/>
          <w:sz w:val="24"/>
          <w:szCs w:val="24"/>
          <w:lang w:eastAsia="es-AR"/>
        </w:rPr>
        <w:t>Sin embargo, aparte de algunos sonidos vocálicos y consonánticos, nunca aprendió a hablar. Además, se mantenía totalmente centrado en sus necesidades y deseos y, como lo admitió Itard en su</w:t>
      </w:r>
      <w:r w:rsidRPr="002A77BE">
        <w:rPr>
          <w:rFonts w:ascii="Garamond" w:eastAsia="Times New Roman" w:hAnsi="Garamond"/>
          <w:color w:val="0070C0"/>
          <w:sz w:val="27"/>
          <w:szCs w:val="27"/>
          <w:lang w:eastAsia="es-AR"/>
        </w:rPr>
        <w:t xml:space="preserve"> </w:t>
      </w:r>
      <w:r w:rsidRPr="00551B76">
        <w:rPr>
          <w:rFonts w:asciiTheme="minorHAnsi" w:eastAsia="Times New Roman" w:hAnsiTheme="minorHAnsi" w:cstheme="minorHAnsi"/>
          <w:color w:val="0070C0"/>
          <w:sz w:val="24"/>
          <w:szCs w:val="24"/>
          <w:lang w:eastAsia="es-AR"/>
        </w:rPr>
        <w:t>informe final, nunca pareció perder su vivo anhelo “por la libertad del campo abierto y su indiferencia a la mayoría de los placeres de la vida social”.  Las atenciones y cuidados que se le dispensaron a partir de entonces mejoraron su estado físico y su sociabilidad, pero los progresos fueron muy escasos, una vez superada la fase inicial. Por esta época se presentó la pubertad sexual del muchacho, lo que creó problemas adicionales a su educador. Las esperanzas de Itard de enseñarle a hablar y a comportarse de manera civilizada resultaron frustradas y en el segundo informe Itard se daba por vencido y manifestaba su preocupación por el futuro del desgraciado joven.</w:t>
      </w:r>
    </w:p>
    <w:p w:rsidR="00590968" w:rsidRPr="002A77BE" w:rsidRDefault="00590968" w:rsidP="00590968">
      <w:pPr>
        <w:shd w:val="clear" w:color="auto" w:fill="FFFFFF"/>
        <w:spacing w:after="0" w:line="240" w:lineRule="auto"/>
        <w:ind w:firstLine="225"/>
        <w:jc w:val="both"/>
        <w:rPr>
          <w:rFonts w:ascii="Times New Roman" w:eastAsia="Times New Roman" w:hAnsi="Times New Roman"/>
          <w:color w:val="0070C0"/>
          <w:sz w:val="27"/>
          <w:szCs w:val="27"/>
          <w:lang w:eastAsia="es-AR"/>
        </w:rPr>
      </w:pPr>
      <w:r w:rsidRPr="00551B76">
        <w:rPr>
          <w:rFonts w:asciiTheme="minorHAnsi" w:eastAsia="Times New Roman" w:hAnsiTheme="minorHAnsi" w:cstheme="minorHAnsi"/>
          <w:color w:val="0070C0"/>
          <w:sz w:val="24"/>
          <w:szCs w:val="24"/>
          <w:lang w:eastAsia="es-AR"/>
        </w:rPr>
        <w:lastRenderedPageBreak/>
        <w:t>Cuando el estudio concluyó, Víctor (que ya no fue capaz de valerse por sí mismo, como lo había hecho en la selva) se fue a vivir con la señora Guérin que, además de otros profesores asignados para continuar su educación, recibía una remuneración del Ministerio del Interior por cuidarlo, cerca de veinte años más, hasta su muerte en 1828 cuando tenía alrededor de 40 años. Un informe elaborado por alguien que vio a Víctor hacia 1815 no reseñaba ninguna mejora de su situación</w:t>
      </w:r>
      <w:r w:rsidRPr="002A77BE">
        <w:rPr>
          <w:rFonts w:ascii="Times New Roman" w:eastAsia="Times New Roman" w:hAnsi="Times New Roman"/>
          <w:color w:val="0070C0"/>
          <w:sz w:val="27"/>
          <w:szCs w:val="27"/>
          <w:lang w:eastAsia="es-AR"/>
        </w:rPr>
        <w:t>.</w:t>
      </w:r>
    </w:p>
    <w:p w:rsidR="00590968" w:rsidRDefault="00590968" w:rsidP="00590968"/>
    <w:p w:rsidR="00830B15" w:rsidRDefault="00830B15">
      <w:bookmarkStart w:id="1" w:name="_GoBack"/>
      <w:bookmarkEnd w:id="1"/>
    </w:p>
    <w:sectPr w:rsidR="00830B15" w:rsidSect="00307ECA">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68"/>
    <w:rsid w:val="00590968"/>
    <w:rsid w:val="0083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6C114-E608-430D-AC8E-EA7CE548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968"/>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2021-06-04T03:45:00Z</dcterms:created>
  <dcterms:modified xsi:type="dcterms:W3CDTF">2021-06-04T03:46:00Z</dcterms:modified>
</cp:coreProperties>
</file>