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C5" w:rsidRDefault="002C26C5" w:rsidP="00C625F1">
      <w:pPr>
        <w:jc w:val="both"/>
        <w:rPr>
          <w:rFonts w:eastAsia="Arial"/>
        </w:rPr>
        <w:sectPr w:rsidR="002C26C5" w:rsidSect="00C625F1">
          <w:pgSz w:w="12240" w:h="15840"/>
          <w:pgMar w:top="709" w:right="1701" w:bottom="1417" w:left="1701" w:header="708" w:footer="708" w:gutter="0"/>
          <w:cols w:space="708"/>
          <w:docGrid w:linePitch="360"/>
        </w:sectPr>
      </w:pPr>
    </w:p>
    <w:p w:rsidR="002C26C5" w:rsidRDefault="002C26C5" w:rsidP="00C625F1">
      <w:pPr>
        <w:spacing w:after="0"/>
        <w:jc w:val="both"/>
      </w:pPr>
      <w:r>
        <w:rPr>
          <w:rFonts w:ascii="Arial" w:eastAsia="Arial" w:hAnsi="Arial" w:cs="Arial"/>
          <w:b/>
          <w:sz w:val="32"/>
        </w:rPr>
        <w:lastRenderedPageBreak/>
        <w:t xml:space="preserve">2° AÑO </w:t>
      </w:r>
    </w:p>
    <w:p w:rsidR="002C26C5" w:rsidRDefault="002C26C5" w:rsidP="00C625F1">
      <w:pPr>
        <w:spacing w:after="151"/>
        <w:ind w:left="41"/>
        <w:jc w:val="both"/>
      </w:pPr>
      <w:r>
        <w:rPr>
          <w:rFonts w:ascii="Calibri" w:eastAsia="Calibri" w:hAnsi="Calibri" w:cs="Calibri"/>
        </w:rPr>
        <w:t xml:space="preserve"> </w:t>
      </w:r>
    </w:p>
    <w:p w:rsidR="002C26C5" w:rsidRDefault="002C26C5" w:rsidP="00C625F1">
      <w:pPr>
        <w:jc w:val="both"/>
      </w:pPr>
      <w:r>
        <w:rPr>
          <w:rFonts w:ascii="Arial" w:eastAsia="Arial" w:hAnsi="Arial" w:cs="Arial"/>
          <w:b/>
          <w:sz w:val="32"/>
        </w:rPr>
        <w:t>La comunicación</w:t>
      </w:r>
    </w:p>
    <w:p w:rsidR="002C26C5" w:rsidRDefault="002C26C5" w:rsidP="00C625F1">
      <w:pPr>
        <w:spacing w:after="122"/>
        <w:ind w:left="720" w:hanging="10"/>
        <w:jc w:val="center"/>
      </w:pPr>
      <w:r>
        <w:rPr>
          <w:rFonts w:ascii="Arial" w:eastAsia="Arial" w:hAnsi="Arial" w:cs="Arial"/>
          <w:b/>
        </w:rPr>
        <w:t>LA COMUNICACIÓN:</w:t>
      </w:r>
      <w:r>
        <w:t xml:space="preserve"> </w:t>
      </w:r>
      <w:r>
        <w:rPr>
          <w:rFonts w:ascii="Arial" w:eastAsia="Arial" w:hAnsi="Arial" w:cs="Arial"/>
          <w:b/>
        </w:rPr>
        <w:t>COMPETENCIAS</w:t>
      </w:r>
    </w:p>
    <w:p w:rsidR="002C26C5" w:rsidRDefault="002C26C5" w:rsidP="00C625F1">
      <w:pPr>
        <w:ind w:left="-15"/>
        <w:jc w:val="both"/>
      </w:pPr>
      <w:r>
        <w:t xml:space="preserve">En esta clase vamos a hacer un repaso del circuito de la comunicación y vamos a desarrollar el tema COMPETENCIAS COMUNICATIVAS. </w:t>
      </w:r>
    </w:p>
    <w:p w:rsidR="002C26C5" w:rsidRDefault="002C26C5" w:rsidP="00C625F1">
      <w:pPr>
        <w:ind w:left="-15"/>
        <w:jc w:val="both"/>
      </w:pPr>
      <w:r>
        <w:t xml:space="preserve">En primer lugar, observa los siguientes eventos comunicativos y luego completa el cuadro comparativo. </w:t>
      </w:r>
    </w:p>
    <w:tbl>
      <w:tblPr>
        <w:tblStyle w:val="TableGrid"/>
        <w:tblW w:w="9459" w:type="dxa"/>
        <w:tblInd w:w="-110" w:type="dxa"/>
        <w:tblCellMar>
          <w:top w:w="4" w:type="dxa"/>
          <w:left w:w="112" w:type="dxa"/>
          <w:bottom w:w="700" w:type="dxa"/>
          <w:right w:w="33" w:type="dxa"/>
        </w:tblCellMar>
        <w:tblLook w:val="04A0" w:firstRow="1" w:lastRow="0" w:firstColumn="1" w:lastColumn="0" w:noHBand="0" w:noVBand="1"/>
      </w:tblPr>
      <w:tblGrid>
        <w:gridCol w:w="4600"/>
        <w:gridCol w:w="4859"/>
      </w:tblGrid>
      <w:tr w:rsidR="002C26C5">
        <w:trPr>
          <w:trHeight w:val="541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781300" cy="2952750"/>
                  <wp:effectExtent l="0" t="0" r="0" b="0"/>
                  <wp:docPr id="199" name="Picture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ind w:left="13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886076" cy="2924175"/>
                  <wp:effectExtent l="0" t="0" r="0" b="0"/>
                  <wp:docPr id="201" name="Picture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6" cy="292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6C5" w:rsidRDefault="002C26C5" w:rsidP="00C625F1">
      <w:pPr>
        <w:spacing w:after="154"/>
        <w:ind w:left="711"/>
        <w:jc w:val="both"/>
      </w:pPr>
      <w:r>
        <w:t xml:space="preserve"> </w:t>
      </w:r>
    </w:p>
    <w:p w:rsidR="002C26C5" w:rsidRDefault="002C26C5" w:rsidP="00C625F1">
      <w:pPr>
        <w:ind w:left="711"/>
        <w:jc w:val="both"/>
      </w:pPr>
      <w:r>
        <w:rPr>
          <w:rFonts w:ascii="Arial" w:eastAsia="Arial" w:hAnsi="Arial" w:cs="Arial"/>
          <w:b/>
          <w:sz w:val="28"/>
        </w:rPr>
        <w:t xml:space="preserve">  </w:t>
      </w:r>
      <w:r>
        <w:t xml:space="preserve">Antes de completar el cuadro comparativo, hacemos un repaso:  </w:t>
      </w:r>
    </w:p>
    <w:p w:rsidR="002C26C5" w:rsidRDefault="002C26C5" w:rsidP="00C625F1">
      <w:pPr>
        <w:ind w:left="-15"/>
        <w:jc w:val="both"/>
      </w:pPr>
      <w:r>
        <w:t xml:space="preserve">Llamamos </w:t>
      </w:r>
      <w:r>
        <w:rPr>
          <w:rFonts w:ascii="Arial" w:eastAsia="Arial" w:hAnsi="Arial" w:cs="Arial"/>
          <w:b/>
        </w:rPr>
        <w:t>emisor</w:t>
      </w:r>
      <w:r>
        <w:t xml:space="preserve"> a quien produce un </w:t>
      </w:r>
      <w:r>
        <w:rPr>
          <w:rFonts w:ascii="Arial" w:eastAsia="Arial" w:hAnsi="Arial" w:cs="Arial"/>
          <w:b/>
        </w:rPr>
        <w:t>mensaje</w:t>
      </w:r>
      <w:r>
        <w:t xml:space="preserve"> y </w:t>
      </w:r>
      <w:r>
        <w:rPr>
          <w:rFonts w:ascii="Arial" w:eastAsia="Arial" w:hAnsi="Arial" w:cs="Arial"/>
          <w:b/>
        </w:rPr>
        <w:t>receptor</w:t>
      </w:r>
      <w:r>
        <w:t xml:space="preserve"> a quien recibe e interpreta ese mensaje. El emisor y el receptor pueden no ser una única persona, sino un conjunto de personas, como organizaciones, empresas o instituciones.  </w:t>
      </w:r>
    </w:p>
    <w:p w:rsidR="002C26C5" w:rsidRDefault="002C26C5" w:rsidP="00C625F1">
      <w:pPr>
        <w:ind w:left="-15"/>
        <w:jc w:val="both"/>
      </w:pPr>
      <w:r>
        <w:t xml:space="preserve">En muchas situaciones comunicativas los roles de emisor y receptor pueden intercambiarse. Alguien emite un mensaje y la respuesta de ese mensaje hace que el receptor se convierta en emisor y viceversa. Este proceso se llama </w:t>
      </w:r>
      <w:r>
        <w:rPr>
          <w:rFonts w:ascii="Arial" w:eastAsia="Arial" w:hAnsi="Arial" w:cs="Arial"/>
          <w:b/>
        </w:rPr>
        <w:t>retroalimentación</w:t>
      </w:r>
      <w:r>
        <w:t xml:space="preserve"> o </w:t>
      </w:r>
      <w:r>
        <w:rPr>
          <w:rFonts w:ascii="Arial" w:eastAsia="Arial" w:hAnsi="Arial" w:cs="Arial"/>
          <w:b/>
          <w:i/>
        </w:rPr>
        <w:t>Feedback</w:t>
      </w:r>
      <w:r>
        <w:t xml:space="preserve">. </w:t>
      </w:r>
    </w:p>
    <w:p w:rsidR="002C26C5" w:rsidRDefault="002C26C5" w:rsidP="00C625F1">
      <w:pPr>
        <w:ind w:left="-15"/>
        <w:jc w:val="both"/>
      </w:pPr>
      <w:r>
        <w:t xml:space="preserve">Todo mensaje se construye a partir de un </w:t>
      </w:r>
      <w:r>
        <w:rPr>
          <w:rFonts w:ascii="Arial" w:eastAsia="Arial" w:hAnsi="Arial" w:cs="Arial"/>
          <w:b/>
        </w:rPr>
        <w:t>código</w:t>
      </w:r>
      <w:r>
        <w:t xml:space="preserve">, que es un sistema de signos convencionales que al combinarse permite construir distintos significados en contextos determinados. El medio a través del cual se transmite ese mensaje se denomina </w:t>
      </w:r>
      <w:r>
        <w:rPr>
          <w:rFonts w:ascii="Arial" w:eastAsia="Arial" w:hAnsi="Arial" w:cs="Arial"/>
          <w:b/>
        </w:rPr>
        <w:t>canal</w:t>
      </w:r>
      <w:r>
        <w:t xml:space="preserve">, mientras que aquello a lo que refiere el </w:t>
      </w:r>
      <w:r>
        <w:lastRenderedPageBreak/>
        <w:t xml:space="preserve">mensaje es </w:t>
      </w:r>
      <w:r>
        <w:rPr>
          <w:rFonts w:ascii="Arial" w:eastAsia="Arial" w:hAnsi="Arial" w:cs="Arial"/>
          <w:b/>
        </w:rPr>
        <w:t>su</w:t>
      </w:r>
      <w:r>
        <w:t xml:space="preserve"> </w:t>
      </w:r>
      <w:r>
        <w:rPr>
          <w:rFonts w:ascii="Arial" w:eastAsia="Arial" w:hAnsi="Arial" w:cs="Arial"/>
          <w:b/>
        </w:rPr>
        <w:t>referente</w:t>
      </w:r>
      <w:r>
        <w:t xml:space="preserve">. Por ejemplo, en la primera viñeta se emplea el código del español a través de un canal </w:t>
      </w:r>
      <w:r w:rsidR="00C625F1">
        <w:t xml:space="preserve">virtual </w:t>
      </w:r>
      <w:r>
        <w:t xml:space="preserve">y el referente es el puesto de trabajo para el que se están solicitando aspirantes.  </w:t>
      </w:r>
    </w:p>
    <w:p w:rsidR="002C26C5" w:rsidRDefault="002C26C5" w:rsidP="00C625F1">
      <w:pPr>
        <w:spacing w:after="56"/>
        <w:ind w:left="1503"/>
        <w:jc w:val="both"/>
      </w:pPr>
      <w:r>
        <w:rPr>
          <w:rFonts w:ascii="Arial" w:eastAsia="Arial" w:hAnsi="Arial" w:cs="Arial"/>
          <w:b/>
        </w:rPr>
        <w:t xml:space="preserve">Ahora completa el cuadro mirando las imágenes a-b-c-d </w:t>
      </w:r>
    </w:p>
    <w:tbl>
      <w:tblPr>
        <w:tblStyle w:val="TableGrid"/>
        <w:tblW w:w="9397" w:type="dxa"/>
        <w:tblInd w:w="-107" w:type="dxa"/>
        <w:tblCellMar>
          <w:top w:w="2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1556"/>
        <w:gridCol w:w="1985"/>
        <w:gridCol w:w="1986"/>
        <w:gridCol w:w="1993"/>
        <w:gridCol w:w="1877"/>
      </w:tblGrid>
      <w:tr w:rsidR="002C26C5">
        <w:trPr>
          <w:trHeight w:val="9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Evento comunicativo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¿Quiénes producen el mensaje?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C26C5" w:rsidRDefault="002C26C5" w:rsidP="00C625F1">
            <w:pPr>
              <w:spacing w:line="259" w:lineRule="auto"/>
              <w:ind w:left="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¿Quiénes reciben el mensaje?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¿Cuál es el asunto al que   se refiere?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¿Cuál es el medio a través del que se transmite?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C26C5">
        <w:trPr>
          <w:trHeight w:val="42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ind w:right="6"/>
              <w:jc w:val="both"/>
            </w:pPr>
            <w:r>
              <w:rPr>
                <w:rFonts w:ascii="Arial" w:eastAsia="Arial" w:hAnsi="Arial" w:cs="Arial"/>
                <w:b/>
              </w:rPr>
              <w:t xml:space="preserve">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ind w:left="4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C26C5">
        <w:trPr>
          <w:trHeight w:val="42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ind w:right="3"/>
              <w:jc w:val="both"/>
            </w:pPr>
            <w:r>
              <w:rPr>
                <w:rFonts w:ascii="Arial" w:eastAsia="Arial" w:hAnsi="Arial" w:cs="Arial"/>
                <w:b/>
              </w:rPr>
              <w:t xml:space="preserve">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ind w:left="4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C26C5">
        <w:trPr>
          <w:trHeight w:val="42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ind w:right="5"/>
              <w:jc w:val="both"/>
            </w:pPr>
            <w:r>
              <w:rPr>
                <w:rFonts w:ascii="Arial" w:eastAsia="Arial" w:hAnsi="Arial" w:cs="Arial"/>
                <w:b/>
              </w:rPr>
              <w:t xml:space="preserve">C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ind w:left="4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C26C5">
        <w:trPr>
          <w:trHeight w:val="42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ind w:right="3"/>
              <w:jc w:val="both"/>
            </w:pPr>
            <w:r>
              <w:rPr>
                <w:rFonts w:ascii="Arial" w:eastAsia="Arial" w:hAnsi="Arial" w:cs="Arial"/>
                <w:b/>
              </w:rPr>
              <w:t xml:space="preserve">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ind w:left="4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C5" w:rsidRDefault="002C26C5" w:rsidP="00C625F1">
            <w:pPr>
              <w:spacing w:line="259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C625F1" w:rsidRPr="00C625F1" w:rsidRDefault="00C625F1" w:rsidP="00C625F1">
      <w:pPr>
        <w:spacing w:after="7" w:line="362" w:lineRule="auto"/>
        <w:ind w:left="706" w:right="-9"/>
        <w:jc w:val="both"/>
      </w:pPr>
    </w:p>
    <w:p w:rsidR="002C26C5" w:rsidRDefault="002C26C5" w:rsidP="00C625F1">
      <w:pPr>
        <w:numPr>
          <w:ilvl w:val="0"/>
          <w:numId w:val="1"/>
        </w:numPr>
        <w:spacing w:after="7" w:line="362" w:lineRule="auto"/>
        <w:ind w:right="-9" w:hanging="361"/>
        <w:jc w:val="both"/>
      </w:pPr>
      <w:r>
        <w:rPr>
          <w:rFonts w:ascii="Arial" w:eastAsia="Arial" w:hAnsi="Arial" w:cs="Arial"/>
          <w:b/>
        </w:rPr>
        <w:t xml:space="preserve">Explica oralmente qué significa las expresiones </w:t>
      </w:r>
      <w:r>
        <w:rPr>
          <w:rFonts w:ascii="Arial" w:eastAsia="Arial" w:hAnsi="Arial" w:cs="Arial"/>
          <w:b/>
          <w:i/>
        </w:rPr>
        <w:t>CV</w:t>
      </w:r>
      <w:r>
        <w:rPr>
          <w:rFonts w:ascii="Arial" w:eastAsia="Arial" w:hAnsi="Arial" w:cs="Arial"/>
          <w:b/>
        </w:rPr>
        <w:t xml:space="preserve"> y </w:t>
      </w:r>
      <w:r>
        <w:rPr>
          <w:rFonts w:ascii="Arial" w:eastAsia="Arial" w:hAnsi="Arial" w:cs="Arial"/>
          <w:b/>
          <w:i/>
        </w:rPr>
        <w:t>PC</w:t>
      </w:r>
      <w:r>
        <w:rPr>
          <w:rFonts w:ascii="Arial" w:eastAsia="Arial" w:hAnsi="Arial" w:cs="Arial"/>
          <w:b/>
        </w:rPr>
        <w:t xml:space="preserve"> y ¿</w:t>
      </w:r>
      <w:r>
        <w:rPr>
          <w:rFonts w:ascii="Arial" w:eastAsia="Arial" w:hAnsi="Arial" w:cs="Arial"/>
          <w:b/>
          <w:i/>
        </w:rPr>
        <w:t>por qué es importante conocerlas para postularse al empleo?</w:t>
      </w:r>
      <w:r>
        <w:rPr>
          <w:rFonts w:ascii="Arial" w:eastAsia="Arial" w:hAnsi="Arial" w:cs="Arial"/>
          <w:i/>
        </w:rPr>
        <w:t xml:space="preserve"> </w:t>
      </w:r>
    </w:p>
    <w:p w:rsidR="002C26C5" w:rsidRDefault="002C26C5" w:rsidP="00C625F1">
      <w:pPr>
        <w:numPr>
          <w:ilvl w:val="0"/>
          <w:numId w:val="1"/>
        </w:numPr>
        <w:spacing w:after="7" w:line="362" w:lineRule="auto"/>
        <w:ind w:right="-9" w:hanging="361"/>
        <w:jc w:val="both"/>
      </w:pPr>
      <w:r>
        <w:rPr>
          <w:rFonts w:ascii="Arial" w:eastAsia="Arial" w:hAnsi="Arial" w:cs="Arial"/>
          <w:b/>
        </w:rPr>
        <w:t xml:space="preserve">Imagina y comenta </w:t>
      </w:r>
      <w:r>
        <w:rPr>
          <w:rFonts w:ascii="Arial" w:eastAsia="Arial" w:hAnsi="Arial" w:cs="Arial"/>
          <w:b/>
          <w:i/>
        </w:rPr>
        <w:t>¿qué hubiera sucedido si la mujer no hubiera sabido enviar un correo electrónico?</w:t>
      </w:r>
      <w:r>
        <w:t xml:space="preserve"> </w:t>
      </w:r>
    </w:p>
    <w:p w:rsidR="002C26C5" w:rsidRDefault="002C26C5" w:rsidP="00C625F1">
      <w:pPr>
        <w:spacing w:after="140"/>
        <w:ind w:left="715"/>
        <w:jc w:val="both"/>
      </w:pPr>
    </w:p>
    <w:p w:rsidR="002C26C5" w:rsidRDefault="002C26C5" w:rsidP="00C625F1">
      <w:pPr>
        <w:spacing w:after="122"/>
        <w:ind w:left="720" w:hanging="10"/>
        <w:jc w:val="both"/>
      </w:pPr>
      <w:r>
        <w:rPr>
          <w:rFonts w:ascii="Arial" w:eastAsia="Arial" w:hAnsi="Arial" w:cs="Arial"/>
          <w:b/>
        </w:rPr>
        <w:t xml:space="preserve">COMPETENCIAS COMUNICATIVAS </w:t>
      </w:r>
    </w:p>
    <w:p w:rsidR="002C26C5" w:rsidRDefault="002C26C5" w:rsidP="00C625F1">
      <w:pPr>
        <w:ind w:left="721"/>
        <w:jc w:val="both"/>
      </w:pPr>
      <w:r>
        <w:t xml:space="preserve">Tanto en la instancia emisora como en la instancia receptora ponen en juego ciertos conocimientos y capacidades que les permiten entenderse y relacionarse. Estas capacidades, a las que se denominan competencias comunicativas son: </w:t>
      </w:r>
    </w:p>
    <w:p w:rsidR="002C26C5" w:rsidRDefault="002C26C5" w:rsidP="00C625F1">
      <w:pPr>
        <w:numPr>
          <w:ilvl w:val="1"/>
          <w:numId w:val="1"/>
        </w:numPr>
        <w:spacing w:after="3" w:line="365" w:lineRule="auto"/>
        <w:ind w:hanging="360"/>
        <w:jc w:val="both"/>
      </w:pPr>
      <w:r>
        <w:rPr>
          <w:rFonts w:ascii="Arial" w:eastAsia="Arial" w:hAnsi="Arial" w:cs="Arial"/>
          <w:b/>
          <w:color w:val="FF0000"/>
        </w:rPr>
        <w:t>Competencia lingüística</w:t>
      </w:r>
      <w:r>
        <w:t xml:space="preserve">: es el conocimiento y el uso del código lingüístico (oral y escrito). </w:t>
      </w:r>
    </w:p>
    <w:p w:rsidR="002C26C5" w:rsidRDefault="002C26C5" w:rsidP="00C625F1">
      <w:pPr>
        <w:numPr>
          <w:ilvl w:val="1"/>
          <w:numId w:val="1"/>
        </w:numPr>
        <w:spacing w:after="3" w:line="365" w:lineRule="auto"/>
        <w:ind w:hanging="360"/>
        <w:jc w:val="both"/>
      </w:pPr>
      <w:r>
        <w:rPr>
          <w:rFonts w:ascii="Arial" w:eastAsia="Arial" w:hAnsi="Arial" w:cs="Arial"/>
          <w:b/>
          <w:color w:val="FF0000"/>
        </w:rPr>
        <w:t>Competencia paralingüística</w:t>
      </w:r>
      <w:r>
        <w:t xml:space="preserve">: es el conocimiento y empleo adecuado de gestos, posturas, tonos de voz, formas de moverse, proximidad con el otro, significado de los silencios etc.  </w:t>
      </w:r>
    </w:p>
    <w:p w:rsidR="002C26C5" w:rsidRDefault="002C26C5" w:rsidP="00C625F1">
      <w:pPr>
        <w:numPr>
          <w:ilvl w:val="1"/>
          <w:numId w:val="1"/>
        </w:numPr>
        <w:spacing w:after="3" w:line="365" w:lineRule="auto"/>
        <w:ind w:hanging="360"/>
        <w:jc w:val="both"/>
      </w:pPr>
      <w:r>
        <w:rPr>
          <w:rFonts w:ascii="Arial" w:eastAsia="Arial" w:hAnsi="Arial" w:cs="Arial"/>
          <w:b/>
          <w:color w:val="FF0000"/>
        </w:rPr>
        <w:t>Competencia cultural e ideológica</w:t>
      </w:r>
      <w:r>
        <w:t xml:space="preserve">: es el conjunto de conocimientos del mundo que una persona posee y la aceptación de reglas sociales, así como  el hecho de compartir unas determinadas creencias y valores de una comunidad o grupo.  </w:t>
      </w:r>
    </w:p>
    <w:p w:rsidR="002C26C5" w:rsidRDefault="002C26C5" w:rsidP="00C625F1">
      <w:pPr>
        <w:numPr>
          <w:ilvl w:val="1"/>
          <w:numId w:val="1"/>
        </w:numPr>
        <w:spacing w:after="3" w:line="365" w:lineRule="auto"/>
        <w:ind w:hanging="360"/>
        <w:jc w:val="both"/>
      </w:pPr>
      <w:r>
        <w:rPr>
          <w:rFonts w:ascii="Arial" w:eastAsia="Arial" w:hAnsi="Arial" w:cs="Arial"/>
          <w:b/>
          <w:color w:val="FF0000"/>
        </w:rPr>
        <w:t>Competencia técnica</w:t>
      </w:r>
      <w:r>
        <w:t xml:space="preserve">: es el conocimiento del uso de las tecnologías que intervienen en la comunicación.  </w:t>
      </w:r>
    </w:p>
    <w:p w:rsidR="002C26C5" w:rsidRDefault="002C26C5" w:rsidP="00C625F1">
      <w:pPr>
        <w:spacing w:after="0"/>
        <w:ind w:left="964" w:right="-70"/>
        <w:jc w:val="both"/>
      </w:pPr>
    </w:p>
    <w:p w:rsidR="002C26C5" w:rsidRDefault="002C26C5" w:rsidP="00C625F1">
      <w:pPr>
        <w:spacing w:after="199" w:line="362" w:lineRule="auto"/>
        <w:ind w:left="721" w:right="-9"/>
        <w:jc w:val="both"/>
      </w:pPr>
      <w:r>
        <w:t xml:space="preserve">Comenta: </w:t>
      </w:r>
      <w:r>
        <w:rPr>
          <w:rFonts w:ascii="Arial" w:eastAsia="Arial" w:hAnsi="Arial" w:cs="Arial"/>
          <w:b/>
          <w:i/>
        </w:rPr>
        <w:t>¿cómo crees que se sintió la postulante a secretaria en el momento de la entrevista?</w:t>
      </w:r>
      <w:r>
        <w:t xml:space="preserve">  </w:t>
      </w:r>
    </w:p>
    <w:sectPr w:rsidR="002C26C5" w:rsidSect="00C625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0B" w:rsidRDefault="00CB070B">
      <w:pPr>
        <w:spacing w:after="0" w:line="240" w:lineRule="auto"/>
      </w:pPr>
      <w:r>
        <w:separator/>
      </w:r>
    </w:p>
  </w:endnote>
  <w:endnote w:type="continuationSeparator" w:id="0">
    <w:p w:rsidR="00CB070B" w:rsidRDefault="00CB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85" w:rsidRDefault="002C26C5">
    <w:pPr>
      <w:spacing w:after="58"/>
    </w:pPr>
    <w:r>
      <w:rPr>
        <w:color w:val="808080"/>
        <w:sz w:val="16"/>
      </w:rPr>
      <w:t xml:space="preserve"> </w:t>
    </w:r>
  </w:p>
  <w:p w:rsidR="00A13785" w:rsidRDefault="002C26C5">
    <w:pPr>
      <w:shd w:val="clear" w:color="auto" w:fill="FFC000"/>
      <w:spacing w:after="0"/>
      <w:jc w:val="center"/>
    </w:pPr>
    <w:r>
      <w:rPr>
        <w:rFonts w:ascii="Arial" w:eastAsia="Arial" w:hAnsi="Arial" w:cs="Arial"/>
        <w:b/>
        <w:color w:val="FFFFFF"/>
      </w:rPr>
      <w:t xml:space="preserve"> </w:t>
    </w:r>
  </w:p>
  <w:p w:rsidR="00A13785" w:rsidRDefault="002C26C5">
    <w:pPr>
      <w:shd w:val="clear" w:color="auto" w:fill="FFC000"/>
      <w:spacing w:after="0"/>
      <w:ind w:right="6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FFFFFF"/>
      </w:rPr>
      <w:t>1</w:t>
    </w:r>
    <w:r>
      <w:rPr>
        <w:b/>
        <w:color w:val="FFFFFF"/>
      </w:rPr>
      <w:fldChar w:fldCharType="end"/>
    </w:r>
    <w:r>
      <w:rPr>
        <w:rFonts w:ascii="Arial" w:eastAsia="Arial" w:hAnsi="Arial" w:cs="Arial"/>
        <w:b/>
        <w:color w:val="FFFFFF"/>
      </w:rPr>
      <w:t xml:space="preserve"> </w:t>
    </w:r>
  </w:p>
  <w:p w:rsidR="00A13785" w:rsidRDefault="002C26C5">
    <w:pPr>
      <w:shd w:val="clear" w:color="auto" w:fill="FFC000"/>
      <w:spacing w:after="749"/>
      <w:jc w:val="center"/>
    </w:pPr>
    <w:r>
      <w:rPr>
        <w:rFonts w:ascii="Arial" w:eastAsia="Arial" w:hAnsi="Arial" w:cs="Arial"/>
        <w:b/>
        <w:color w:val="FFFFFF"/>
      </w:rPr>
      <w:t xml:space="preserve"> </w:t>
    </w:r>
  </w:p>
  <w:p w:rsidR="00A13785" w:rsidRDefault="002C26C5">
    <w:pPr>
      <w:spacing w:after="0"/>
      <w:ind w:left="1609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1921129</wp:posOffset>
          </wp:positionH>
          <wp:positionV relativeFrom="page">
            <wp:posOffset>9744722</wp:posOffset>
          </wp:positionV>
          <wp:extent cx="3711829" cy="629285"/>
          <wp:effectExtent l="0" t="0" r="0" b="0"/>
          <wp:wrapSquare wrapText="bothSides"/>
          <wp:docPr id="2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1829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A13785" w:rsidRDefault="002C26C5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85" w:rsidRDefault="00CB070B" w:rsidP="00C625F1">
    <w:pPr>
      <w:spacing w:after="5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85" w:rsidRDefault="002C26C5">
    <w:pPr>
      <w:spacing w:after="58"/>
    </w:pPr>
    <w:r>
      <w:rPr>
        <w:color w:val="808080"/>
        <w:sz w:val="16"/>
      </w:rPr>
      <w:t xml:space="preserve"> </w:t>
    </w:r>
  </w:p>
  <w:p w:rsidR="00A13785" w:rsidRDefault="002C26C5">
    <w:pPr>
      <w:shd w:val="clear" w:color="auto" w:fill="FFC000"/>
      <w:spacing w:after="0"/>
      <w:jc w:val="center"/>
    </w:pPr>
    <w:r>
      <w:rPr>
        <w:rFonts w:ascii="Arial" w:eastAsia="Arial" w:hAnsi="Arial" w:cs="Arial"/>
        <w:b/>
        <w:color w:val="FFFFFF"/>
      </w:rPr>
      <w:t xml:space="preserve"> </w:t>
    </w:r>
  </w:p>
  <w:p w:rsidR="00A13785" w:rsidRDefault="002C26C5">
    <w:pPr>
      <w:shd w:val="clear" w:color="auto" w:fill="FFC000"/>
      <w:spacing w:after="0"/>
      <w:ind w:right="6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FFFFFF"/>
      </w:rPr>
      <w:t>1</w:t>
    </w:r>
    <w:r>
      <w:rPr>
        <w:b/>
        <w:color w:val="FFFFFF"/>
      </w:rPr>
      <w:fldChar w:fldCharType="end"/>
    </w:r>
    <w:r>
      <w:rPr>
        <w:rFonts w:ascii="Arial" w:eastAsia="Arial" w:hAnsi="Arial" w:cs="Arial"/>
        <w:b/>
        <w:color w:val="FFFFFF"/>
      </w:rPr>
      <w:t xml:space="preserve"> </w:t>
    </w:r>
  </w:p>
  <w:p w:rsidR="00A13785" w:rsidRDefault="002C26C5">
    <w:pPr>
      <w:shd w:val="clear" w:color="auto" w:fill="FFC000"/>
      <w:spacing w:after="749"/>
      <w:jc w:val="center"/>
    </w:pPr>
    <w:r>
      <w:rPr>
        <w:rFonts w:ascii="Arial" w:eastAsia="Arial" w:hAnsi="Arial" w:cs="Arial"/>
        <w:b/>
        <w:color w:val="FFFFFF"/>
      </w:rPr>
      <w:t xml:space="preserve"> </w:t>
    </w:r>
  </w:p>
  <w:p w:rsidR="00A13785" w:rsidRDefault="002C26C5">
    <w:pPr>
      <w:spacing w:after="0"/>
      <w:ind w:left="1609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1921129</wp:posOffset>
          </wp:positionH>
          <wp:positionV relativeFrom="page">
            <wp:posOffset>9744722</wp:posOffset>
          </wp:positionV>
          <wp:extent cx="3711829" cy="629285"/>
          <wp:effectExtent l="0" t="0" r="0" b="0"/>
          <wp:wrapSquare wrapText="bothSides"/>
          <wp:docPr id="3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1829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A13785" w:rsidRDefault="002C26C5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0B" w:rsidRDefault="00CB070B">
      <w:pPr>
        <w:spacing w:after="0" w:line="240" w:lineRule="auto"/>
      </w:pPr>
      <w:r>
        <w:separator/>
      </w:r>
    </w:p>
  </w:footnote>
  <w:footnote w:type="continuationSeparator" w:id="0">
    <w:p w:rsidR="00CB070B" w:rsidRDefault="00CB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85" w:rsidRDefault="002C26C5">
    <w:pPr>
      <w:spacing w:after="0"/>
      <w:ind w:left="-282" w:right="-271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6320" cy="812165"/>
          <wp:effectExtent l="0" t="0" r="0" b="0"/>
          <wp:wrapSquare wrapText="bothSides"/>
          <wp:docPr id="25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A13785" w:rsidRDefault="002C26C5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85" w:rsidRDefault="002C26C5">
    <w:pPr>
      <w:spacing w:after="0"/>
      <w:ind w:left="-282" w:right="-271"/>
      <w:jc w:val="right"/>
    </w:pPr>
    <w:r>
      <w:rPr>
        <w:rFonts w:ascii="Calibri" w:eastAsia="Calibri" w:hAnsi="Calibri" w:cs="Calibri"/>
      </w:rPr>
      <w:t xml:space="preserve"> </w:t>
    </w:r>
  </w:p>
  <w:p w:rsidR="00A13785" w:rsidRDefault="002C26C5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85" w:rsidRDefault="002C26C5">
    <w:pPr>
      <w:spacing w:after="0"/>
      <w:ind w:left="-282" w:right="-271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6320" cy="812165"/>
          <wp:effectExtent l="0" t="0" r="0" b="0"/>
          <wp:wrapSquare wrapText="bothSides"/>
          <wp:docPr id="2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A13785" w:rsidRDefault="002C26C5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247C"/>
    <w:multiLevelType w:val="hybridMultilevel"/>
    <w:tmpl w:val="D792A022"/>
    <w:lvl w:ilvl="0" w:tplc="A066E826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766550">
      <w:start w:val="1"/>
      <w:numFmt w:val="bullet"/>
      <w:lvlText w:val="o"/>
      <w:lvlJc w:val="left"/>
      <w:pPr>
        <w:ind w:left="1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F41436">
      <w:start w:val="1"/>
      <w:numFmt w:val="bullet"/>
      <w:lvlText w:val="▪"/>
      <w:lvlJc w:val="left"/>
      <w:pPr>
        <w:ind w:left="1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3EEC4E">
      <w:start w:val="1"/>
      <w:numFmt w:val="bullet"/>
      <w:lvlText w:val="•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E2D9F2">
      <w:start w:val="1"/>
      <w:numFmt w:val="bullet"/>
      <w:lvlText w:val="o"/>
      <w:lvlJc w:val="left"/>
      <w:pPr>
        <w:ind w:left="3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EA7F8">
      <w:start w:val="1"/>
      <w:numFmt w:val="bullet"/>
      <w:lvlText w:val="▪"/>
      <w:lvlJc w:val="left"/>
      <w:pPr>
        <w:ind w:left="3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389054">
      <w:start w:val="1"/>
      <w:numFmt w:val="bullet"/>
      <w:lvlText w:val="•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DA9AAC">
      <w:start w:val="1"/>
      <w:numFmt w:val="bullet"/>
      <w:lvlText w:val="o"/>
      <w:lvlJc w:val="left"/>
      <w:pPr>
        <w:ind w:left="5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DA2962">
      <w:start w:val="1"/>
      <w:numFmt w:val="bullet"/>
      <w:lvlText w:val="▪"/>
      <w:lvlJc w:val="left"/>
      <w:pPr>
        <w:ind w:left="6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A749F"/>
    <w:multiLevelType w:val="hybridMultilevel"/>
    <w:tmpl w:val="AF142534"/>
    <w:lvl w:ilvl="0" w:tplc="A106FD3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8AE66">
      <w:start w:val="1"/>
      <w:numFmt w:val="bullet"/>
      <w:lvlText w:val=""/>
      <w:lvlJc w:val="left"/>
      <w:pPr>
        <w:ind w:left="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8283C">
      <w:start w:val="1"/>
      <w:numFmt w:val="bullet"/>
      <w:lvlText w:val="▪"/>
      <w:lvlJc w:val="left"/>
      <w:pPr>
        <w:ind w:left="2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8494A">
      <w:start w:val="1"/>
      <w:numFmt w:val="bullet"/>
      <w:lvlText w:val="•"/>
      <w:lvlJc w:val="left"/>
      <w:pPr>
        <w:ind w:left="2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1ACE">
      <w:start w:val="1"/>
      <w:numFmt w:val="bullet"/>
      <w:lvlText w:val="o"/>
      <w:lvlJc w:val="left"/>
      <w:pPr>
        <w:ind w:left="3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0691A">
      <w:start w:val="1"/>
      <w:numFmt w:val="bullet"/>
      <w:lvlText w:val="▪"/>
      <w:lvlJc w:val="left"/>
      <w:pPr>
        <w:ind w:left="4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831B6">
      <w:start w:val="1"/>
      <w:numFmt w:val="bullet"/>
      <w:lvlText w:val="•"/>
      <w:lvlJc w:val="left"/>
      <w:pPr>
        <w:ind w:left="5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A5694">
      <w:start w:val="1"/>
      <w:numFmt w:val="bullet"/>
      <w:lvlText w:val="o"/>
      <w:lvlJc w:val="left"/>
      <w:pPr>
        <w:ind w:left="5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6B9E2">
      <w:start w:val="1"/>
      <w:numFmt w:val="bullet"/>
      <w:lvlText w:val="▪"/>
      <w:lvlJc w:val="left"/>
      <w:pPr>
        <w:ind w:left="6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E2FC6"/>
    <w:multiLevelType w:val="hybridMultilevel"/>
    <w:tmpl w:val="E0F4AF64"/>
    <w:lvl w:ilvl="0" w:tplc="1496209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C556E">
      <w:start w:val="1"/>
      <w:numFmt w:val="bullet"/>
      <w:lvlText w:val="o"/>
      <w:lvlJc w:val="left"/>
      <w:pPr>
        <w:ind w:left="1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237AA">
      <w:start w:val="1"/>
      <w:numFmt w:val="bullet"/>
      <w:lvlText w:val="▪"/>
      <w:lvlJc w:val="left"/>
      <w:pPr>
        <w:ind w:left="1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9AD364">
      <w:start w:val="1"/>
      <w:numFmt w:val="bullet"/>
      <w:lvlText w:val="•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4A65C">
      <w:start w:val="1"/>
      <w:numFmt w:val="bullet"/>
      <w:lvlText w:val="o"/>
      <w:lvlJc w:val="left"/>
      <w:pPr>
        <w:ind w:left="3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705864">
      <w:start w:val="1"/>
      <w:numFmt w:val="bullet"/>
      <w:lvlText w:val="▪"/>
      <w:lvlJc w:val="left"/>
      <w:pPr>
        <w:ind w:left="3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902076">
      <w:start w:val="1"/>
      <w:numFmt w:val="bullet"/>
      <w:lvlText w:val="•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406AEE">
      <w:start w:val="1"/>
      <w:numFmt w:val="bullet"/>
      <w:lvlText w:val="o"/>
      <w:lvlJc w:val="left"/>
      <w:pPr>
        <w:ind w:left="5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10DC54">
      <w:start w:val="1"/>
      <w:numFmt w:val="bullet"/>
      <w:lvlText w:val="▪"/>
      <w:lvlJc w:val="left"/>
      <w:pPr>
        <w:ind w:left="6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1D2746"/>
    <w:multiLevelType w:val="hybridMultilevel"/>
    <w:tmpl w:val="CCEE72E6"/>
    <w:lvl w:ilvl="0" w:tplc="85E0471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65582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6735C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1E913C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C456A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E417E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29C34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44B56E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7E28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024362"/>
    <w:multiLevelType w:val="hybridMultilevel"/>
    <w:tmpl w:val="95322972"/>
    <w:lvl w:ilvl="0" w:tplc="7A429A7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78F81E08">
      <w:start w:val="1"/>
      <w:numFmt w:val="bullet"/>
      <w:lvlText w:val="•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585E">
      <w:start w:val="1"/>
      <w:numFmt w:val="bullet"/>
      <w:lvlText w:val="▪"/>
      <w:lvlJc w:val="left"/>
      <w:pPr>
        <w:ind w:left="2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8C0E8">
      <w:start w:val="1"/>
      <w:numFmt w:val="bullet"/>
      <w:lvlText w:val="•"/>
      <w:lvlJc w:val="left"/>
      <w:pPr>
        <w:ind w:left="2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67226">
      <w:start w:val="1"/>
      <w:numFmt w:val="bullet"/>
      <w:lvlText w:val="o"/>
      <w:lvlJc w:val="left"/>
      <w:pPr>
        <w:ind w:left="3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E7916">
      <w:start w:val="1"/>
      <w:numFmt w:val="bullet"/>
      <w:lvlText w:val="▪"/>
      <w:lvlJc w:val="left"/>
      <w:pPr>
        <w:ind w:left="4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09064">
      <w:start w:val="1"/>
      <w:numFmt w:val="bullet"/>
      <w:lvlText w:val="•"/>
      <w:lvlJc w:val="left"/>
      <w:pPr>
        <w:ind w:left="5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8327E">
      <w:start w:val="1"/>
      <w:numFmt w:val="bullet"/>
      <w:lvlText w:val="o"/>
      <w:lvlJc w:val="left"/>
      <w:pPr>
        <w:ind w:left="5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4C1B8">
      <w:start w:val="1"/>
      <w:numFmt w:val="bullet"/>
      <w:lvlText w:val="▪"/>
      <w:lvlJc w:val="left"/>
      <w:pPr>
        <w:ind w:left="6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645E6B"/>
    <w:multiLevelType w:val="hybridMultilevel"/>
    <w:tmpl w:val="FC18C87C"/>
    <w:lvl w:ilvl="0" w:tplc="BD200CC4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6461A">
      <w:start w:val="1"/>
      <w:numFmt w:val="bullet"/>
      <w:lvlText w:val="o"/>
      <w:lvlJc w:val="left"/>
      <w:pPr>
        <w:ind w:left="1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F27E06">
      <w:start w:val="1"/>
      <w:numFmt w:val="bullet"/>
      <w:lvlText w:val="▪"/>
      <w:lvlJc w:val="left"/>
      <w:pPr>
        <w:ind w:left="1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D0026C">
      <w:start w:val="1"/>
      <w:numFmt w:val="bullet"/>
      <w:lvlText w:val="•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6A28F2">
      <w:start w:val="1"/>
      <w:numFmt w:val="bullet"/>
      <w:lvlText w:val="o"/>
      <w:lvlJc w:val="left"/>
      <w:pPr>
        <w:ind w:left="3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80C54">
      <w:start w:val="1"/>
      <w:numFmt w:val="bullet"/>
      <w:lvlText w:val="▪"/>
      <w:lvlJc w:val="left"/>
      <w:pPr>
        <w:ind w:left="3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E47AF4">
      <w:start w:val="1"/>
      <w:numFmt w:val="bullet"/>
      <w:lvlText w:val="•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29348">
      <w:start w:val="1"/>
      <w:numFmt w:val="bullet"/>
      <w:lvlText w:val="o"/>
      <w:lvlJc w:val="left"/>
      <w:pPr>
        <w:ind w:left="5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24B94">
      <w:start w:val="1"/>
      <w:numFmt w:val="bullet"/>
      <w:lvlText w:val="▪"/>
      <w:lvlJc w:val="left"/>
      <w:pPr>
        <w:ind w:left="6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3A573A"/>
    <w:multiLevelType w:val="hybridMultilevel"/>
    <w:tmpl w:val="4CF49558"/>
    <w:lvl w:ilvl="0" w:tplc="D81C5E5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E713C">
      <w:start w:val="1"/>
      <w:numFmt w:val="bullet"/>
      <w:lvlText w:val="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ED7D8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8EAC2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4AA96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89378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ACB02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A0276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34940E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7C"/>
    <w:rsid w:val="002C26C5"/>
    <w:rsid w:val="006C017C"/>
    <w:rsid w:val="00C23018"/>
    <w:rsid w:val="00C625F1"/>
    <w:rsid w:val="00CB070B"/>
    <w:rsid w:val="00D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3742A"/>
  <w15:chartTrackingRefBased/>
  <w15:docId w15:val="{4357271D-C138-4ADF-9E7B-3C50304D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2C26C5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EEAF6"/>
      <w:spacing w:after="115"/>
      <w:ind w:left="10" w:right="79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C01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C26C5"/>
    <w:rPr>
      <w:rFonts w:ascii="Arial" w:eastAsia="Arial" w:hAnsi="Arial" w:cs="Arial"/>
      <w:b/>
      <w:color w:val="000000"/>
      <w:sz w:val="28"/>
      <w:shd w:val="clear" w:color="auto" w:fill="DEEAF6"/>
    </w:rPr>
  </w:style>
  <w:style w:type="character" w:customStyle="1" w:styleId="Ttulo1Car1">
    <w:name w:val="Título 1 Car1"/>
    <w:rsid w:val="002C26C5"/>
    <w:rPr>
      <w:rFonts w:ascii="Arial" w:eastAsia="Arial" w:hAnsi="Arial" w:cs="Arial"/>
      <w:b/>
      <w:color w:val="000000"/>
      <w:sz w:val="28"/>
    </w:rPr>
  </w:style>
  <w:style w:type="table" w:customStyle="1" w:styleId="TableGrid1">
    <w:name w:val="TableGrid1"/>
    <w:rsid w:val="002C26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2301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25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5F1"/>
  </w:style>
  <w:style w:type="paragraph" w:styleId="Piedepgina">
    <w:name w:val="footer"/>
    <w:basedOn w:val="Normal"/>
    <w:link w:val="PiedepginaCar"/>
    <w:uiPriority w:val="99"/>
    <w:unhideWhenUsed/>
    <w:rsid w:val="00C625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6</cp:revision>
  <dcterms:created xsi:type="dcterms:W3CDTF">2021-04-27T12:37:00Z</dcterms:created>
  <dcterms:modified xsi:type="dcterms:W3CDTF">2021-04-27T13:11:00Z</dcterms:modified>
</cp:coreProperties>
</file>